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FA6D" w14:textId="26695661" w:rsidR="00992B89" w:rsidRPr="00A003CF" w:rsidRDefault="00DD0C57" w:rsidP="00A003CF">
      <w:pPr>
        <w:spacing w:before="120" w:line="240" w:lineRule="auto"/>
        <w:rPr>
          <w:sz w:val="22"/>
          <w:lang w:val="en-GB"/>
        </w:rPr>
      </w:pPr>
      <w:bookmarkStart w:id="0" w:name="_Hlk121230591"/>
      <w:r>
        <w:rPr>
          <w:rFonts w:asciiTheme="majorHAnsi" w:hAnsiTheme="majorHAnsi" w:cstheme="majorHAnsi"/>
          <w:b/>
          <w:color w:val="FF6600"/>
          <w:sz w:val="28"/>
          <w:szCs w:val="28"/>
          <w:lang w:val="en-GB"/>
        </w:rPr>
        <w:t xml:space="preserve">PROJECT </w:t>
      </w:r>
      <w:r w:rsidR="00642A37">
        <w:rPr>
          <w:rFonts w:asciiTheme="majorHAnsi" w:hAnsiTheme="majorHAnsi" w:cstheme="majorHAnsi"/>
          <w:b/>
          <w:color w:val="FF6600"/>
          <w:sz w:val="28"/>
          <w:szCs w:val="28"/>
          <w:lang w:val="en-GB"/>
        </w:rPr>
        <w:t>INFORMATION</w:t>
      </w:r>
      <w:r>
        <w:rPr>
          <w:rFonts w:asciiTheme="majorHAnsi" w:hAnsiTheme="majorHAnsi" w:cstheme="majorHAnsi"/>
          <w:b/>
          <w:color w:val="FF6600"/>
          <w:sz w:val="28"/>
          <w:szCs w:val="28"/>
          <w:lang w:val="en-GB"/>
        </w:rPr>
        <w:t>:</w:t>
      </w:r>
      <w:r w:rsidR="00A003CF">
        <w:rPr>
          <w:rFonts w:asciiTheme="majorHAnsi" w:hAnsiTheme="majorHAnsi" w:cstheme="majorHAnsi"/>
          <w:b/>
          <w:color w:val="FF6600"/>
          <w:sz w:val="28"/>
          <w:szCs w:val="28"/>
          <w:lang w:val="en-GB"/>
        </w:rPr>
        <w:t xml:space="preserve"> </w:t>
      </w:r>
      <w:r w:rsidR="00A003CF" w:rsidRPr="00A003CF">
        <w:rPr>
          <w:rFonts w:ascii="Calibri" w:hAnsi="Calibri" w:cs="Calibri"/>
          <w:b/>
          <w:bCs/>
          <w:color w:val="009999"/>
          <w:sz w:val="32"/>
          <w:szCs w:val="40"/>
          <w:lang w:val="en-GB"/>
        </w:rPr>
        <w:t>Strategic Joint Evaluation of the Collective International Development and Humanitarian Assistance Response to the COVID-19 Pandemic</w:t>
      </w:r>
    </w:p>
    <w:p w14:paraId="59AC1BE5" w14:textId="6C2F0498" w:rsidR="002A122C" w:rsidRPr="00541C63" w:rsidRDefault="005D2F75" w:rsidP="00541C63">
      <w:pPr>
        <w:pStyle w:val="ListParagraph"/>
        <w:numPr>
          <w:ilvl w:val="0"/>
          <w:numId w:val="27"/>
        </w:numPr>
        <w:spacing w:before="120" w:line="240" w:lineRule="auto"/>
        <w:rPr>
          <w:rFonts w:ascii="Calibri" w:hAnsi="Calibri" w:cs="Calibri"/>
          <w:b/>
          <w:bCs/>
          <w:color w:val="009999"/>
          <w:sz w:val="22"/>
          <w:szCs w:val="28"/>
          <w:lang w:val="en-GB"/>
        </w:rPr>
      </w:pPr>
      <w:bookmarkStart w:id="1" w:name="_s4ricfar0763" w:colFirst="0" w:colLast="0"/>
      <w:bookmarkEnd w:id="0"/>
      <w:bookmarkEnd w:id="1"/>
      <w:r>
        <w:rPr>
          <w:rFonts w:ascii="Calibri" w:hAnsi="Calibri" w:cs="Calibri"/>
          <w:b/>
          <w:bCs/>
          <w:color w:val="009999"/>
          <w:sz w:val="22"/>
          <w:szCs w:val="28"/>
          <w:lang w:val="en-GB"/>
        </w:rPr>
        <w:t>O</w:t>
      </w:r>
      <w:r w:rsidR="00A003CF" w:rsidRPr="00541C63">
        <w:rPr>
          <w:rFonts w:ascii="Calibri" w:hAnsi="Calibri" w:cs="Calibri"/>
          <w:b/>
          <w:bCs/>
          <w:color w:val="009999"/>
          <w:sz w:val="22"/>
          <w:szCs w:val="28"/>
          <w:lang w:val="en-GB"/>
        </w:rPr>
        <w:t>bject</w:t>
      </w:r>
      <w:r w:rsidR="00DD0C57">
        <w:rPr>
          <w:rFonts w:ascii="Calibri" w:hAnsi="Calibri" w:cs="Calibri"/>
          <w:b/>
          <w:bCs/>
          <w:color w:val="009999"/>
          <w:sz w:val="22"/>
          <w:szCs w:val="28"/>
          <w:lang w:val="en-GB"/>
        </w:rPr>
        <w:t>ive</w:t>
      </w:r>
      <w:r w:rsidR="00A003CF" w:rsidRPr="00541C63">
        <w:rPr>
          <w:rFonts w:ascii="Calibri" w:hAnsi="Calibri" w:cs="Calibri"/>
          <w:b/>
          <w:bCs/>
          <w:color w:val="009999"/>
          <w:sz w:val="22"/>
          <w:szCs w:val="28"/>
          <w:lang w:val="en-GB"/>
        </w:rPr>
        <w:t xml:space="preserve"> of th</w:t>
      </w:r>
      <w:r>
        <w:rPr>
          <w:rFonts w:ascii="Calibri" w:hAnsi="Calibri" w:cs="Calibri"/>
          <w:b/>
          <w:bCs/>
          <w:color w:val="009999"/>
          <w:sz w:val="22"/>
          <w:szCs w:val="28"/>
          <w:lang w:val="en-GB"/>
        </w:rPr>
        <w:t>e</w:t>
      </w:r>
      <w:r w:rsidR="00A003CF" w:rsidRPr="00541C63">
        <w:rPr>
          <w:rFonts w:ascii="Calibri" w:hAnsi="Calibri" w:cs="Calibri"/>
          <w:b/>
          <w:bCs/>
          <w:color w:val="009999"/>
          <w:sz w:val="22"/>
          <w:szCs w:val="28"/>
          <w:lang w:val="en-GB"/>
        </w:rPr>
        <w:t xml:space="preserve"> </w:t>
      </w:r>
      <w:r>
        <w:rPr>
          <w:rFonts w:ascii="Calibri" w:hAnsi="Calibri" w:cs="Calibri"/>
          <w:b/>
          <w:bCs/>
          <w:color w:val="009999"/>
          <w:sz w:val="22"/>
          <w:szCs w:val="28"/>
          <w:lang w:val="en-GB"/>
        </w:rPr>
        <w:t>subsidy</w:t>
      </w:r>
      <w:r w:rsidR="00A003CF" w:rsidRPr="00541C63">
        <w:rPr>
          <w:rFonts w:ascii="Calibri" w:hAnsi="Calibri" w:cs="Calibri"/>
          <w:b/>
          <w:bCs/>
          <w:color w:val="009999"/>
          <w:sz w:val="22"/>
          <w:szCs w:val="28"/>
          <w:lang w:val="en-GB"/>
        </w:rPr>
        <w:t xml:space="preserve"> demand: </w:t>
      </w:r>
    </w:p>
    <w:p w14:paraId="551DB0B7" w14:textId="597F09B3" w:rsidR="00DD0C57" w:rsidRPr="002A122C" w:rsidRDefault="00DD0C57" w:rsidP="00DD0C57">
      <w:pPr>
        <w:pStyle w:val="ListParagraph"/>
        <w:spacing w:after="120" w:line="240" w:lineRule="auto"/>
        <w:contextualSpacing w:val="0"/>
        <w:jc w:val="both"/>
        <w:rPr>
          <w:rFonts w:asciiTheme="majorHAnsi" w:hAnsiTheme="majorHAnsi" w:cstheme="majorHAnsi"/>
          <w:sz w:val="22"/>
          <w:szCs w:val="22"/>
          <w:lang w:val="en-GB"/>
        </w:rPr>
      </w:pPr>
      <w:r w:rsidRPr="002A122C">
        <w:rPr>
          <w:rFonts w:asciiTheme="majorHAnsi" w:hAnsiTheme="majorHAnsi" w:cstheme="majorHAnsi"/>
          <w:sz w:val="22"/>
          <w:szCs w:val="22"/>
          <w:lang w:val="en-GB"/>
        </w:rPr>
        <w:t xml:space="preserve">Funding will </w:t>
      </w:r>
      <w:r>
        <w:rPr>
          <w:rFonts w:asciiTheme="majorHAnsi" w:hAnsiTheme="majorHAnsi" w:cstheme="majorHAnsi"/>
          <w:sz w:val="22"/>
          <w:szCs w:val="22"/>
          <w:lang w:val="en-GB"/>
        </w:rPr>
        <w:t>contribute to</w:t>
      </w:r>
      <w:r w:rsidRPr="002A122C">
        <w:rPr>
          <w:rFonts w:asciiTheme="majorHAnsi" w:hAnsiTheme="majorHAnsi" w:cstheme="majorHAnsi"/>
          <w:sz w:val="22"/>
          <w:szCs w:val="22"/>
          <w:lang w:val="en-GB"/>
        </w:rPr>
        <w:t xml:space="preserve"> the OECD</w:t>
      </w:r>
      <w:r w:rsidR="002134EB">
        <w:rPr>
          <w:rFonts w:asciiTheme="majorHAnsi" w:hAnsiTheme="majorHAnsi" w:cstheme="majorHAnsi"/>
          <w:sz w:val="22"/>
          <w:szCs w:val="22"/>
          <w:lang w:val="en-GB"/>
        </w:rPr>
        <w:t xml:space="preserve"> programme of work and budget (2023-24), specifically the project</w:t>
      </w:r>
      <w:r w:rsidRPr="002A122C">
        <w:rPr>
          <w:rFonts w:asciiTheme="majorHAnsi" w:hAnsiTheme="majorHAnsi" w:cstheme="majorHAnsi"/>
          <w:sz w:val="22"/>
          <w:szCs w:val="22"/>
          <w:lang w:val="en-GB"/>
        </w:rPr>
        <w:t xml:space="preserve"> </w:t>
      </w:r>
      <w:bookmarkStart w:id="2" w:name="_Hlk136868602"/>
      <w:r w:rsidRPr="002A122C">
        <w:rPr>
          <w:rFonts w:asciiTheme="majorHAnsi" w:hAnsiTheme="majorHAnsi" w:cstheme="majorHAnsi"/>
          <w:i/>
          <w:iCs/>
          <w:sz w:val="22"/>
          <w:szCs w:val="22"/>
          <w:lang w:val="en-GB"/>
        </w:rPr>
        <w:t>Strategic Joint Evaluation of the Collective International Development and Humanitarian Assistance Response to the COVID-19 Pandemic</w:t>
      </w:r>
      <w:bookmarkEnd w:id="2"/>
      <w:r>
        <w:rPr>
          <w:rFonts w:asciiTheme="majorHAnsi" w:hAnsiTheme="majorHAnsi" w:cstheme="majorHAnsi"/>
          <w:i/>
          <w:iCs/>
          <w:sz w:val="22"/>
          <w:szCs w:val="22"/>
          <w:lang w:val="en-GB"/>
        </w:rPr>
        <w:t xml:space="preserve">. </w:t>
      </w:r>
      <w:r w:rsidR="002134EB">
        <w:rPr>
          <w:rFonts w:asciiTheme="majorHAnsi" w:hAnsiTheme="majorHAnsi" w:cstheme="majorHAnsi"/>
          <w:sz w:val="22"/>
          <w:szCs w:val="22"/>
          <w:lang w:val="en-GB"/>
        </w:rPr>
        <w:t>The evaluation aims to</w:t>
      </w:r>
      <w:r w:rsidR="002134EB" w:rsidRPr="002A122C">
        <w:rPr>
          <w:rFonts w:asciiTheme="majorHAnsi" w:hAnsiTheme="majorHAnsi" w:cstheme="majorHAnsi"/>
          <w:sz w:val="22"/>
          <w:szCs w:val="22"/>
          <w:lang w:val="en-GB"/>
        </w:rPr>
        <w:t xml:space="preserve"> document the collective response to the COVID-19 pandemic of state and non-state actors with a focus on where support was concentrated, how and why; </w:t>
      </w:r>
      <w:r w:rsidR="002134EB">
        <w:rPr>
          <w:rFonts w:asciiTheme="majorHAnsi" w:hAnsiTheme="majorHAnsi" w:cstheme="majorHAnsi"/>
          <w:sz w:val="22"/>
          <w:szCs w:val="22"/>
          <w:lang w:val="en-GB"/>
        </w:rPr>
        <w:t>a</w:t>
      </w:r>
      <w:r w:rsidR="002134EB" w:rsidRPr="002A122C">
        <w:rPr>
          <w:rFonts w:asciiTheme="majorHAnsi" w:hAnsiTheme="majorHAnsi" w:cstheme="majorHAnsi"/>
          <w:sz w:val="22"/>
          <w:szCs w:val="22"/>
          <w:lang w:val="en-GB"/>
        </w:rPr>
        <w:t xml:space="preserve">nswer evaluative questions of relevance, coherence, </w:t>
      </w:r>
      <w:r w:rsidR="00642A37" w:rsidRPr="002A122C">
        <w:rPr>
          <w:rFonts w:asciiTheme="majorHAnsi" w:hAnsiTheme="majorHAnsi" w:cstheme="majorHAnsi"/>
          <w:sz w:val="22"/>
          <w:szCs w:val="22"/>
          <w:lang w:val="en-GB"/>
        </w:rPr>
        <w:t>effectiveness,</w:t>
      </w:r>
      <w:r w:rsidR="002134EB" w:rsidRPr="002A122C">
        <w:rPr>
          <w:rFonts w:asciiTheme="majorHAnsi" w:hAnsiTheme="majorHAnsi" w:cstheme="majorHAnsi"/>
          <w:sz w:val="22"/>
          <w:szCs w:val="22"/>
          <w:lang w:val="en-GB"/>
        </w:rPr>
        <w:t xml:space="preserve"> and efficiency about the overall response effort; </w:t>
      </w:r>
      <w:r w:rsidR="002134EB">
        <w:rPr>
          <w:rFonts w:asciiTheme="majorHAnsi" w:hAnsiTheme="majorHAnsi" w:cstheme="majorHAnsi"/>
          <w:sz w:val="22"/>
          <w:szCs w:val="22"/>
          <w:lang w:val="en-GB"/>
        </w:rPr>
        <w:t>and g</w:t>
      </w:r>
      <w:r w:rsidR="002134EB" w:rsidRPr="002A122C">
        <w:rPr>
          <w:rFonts w:asciiTheme="majorHAnsi" w:hAnsiTheme="majorHAnsi" w:cstheme="majorHAnsi"/>
          <w:sz w:val="22"/>
          <w:szCs w:val="22"/>
          <w:lang w:val="en-GB"/>
        </w:rPr>
        <w:t>enerate useful lessons and good practices to inform future co-operation and crisis preparedness for governments, development agencies and others</w:t>
      </w:r>
      <w:r w:rsidR="002134EB">
        <w:rPr>
          <w:rFonts w:asciiTheme="majorHAnsi" w:hAnsiTheme="majorHAnsi" w:cstheme="majorHAnsi"/>
          <w:sz w:val="22"/>
          <w:szCs w:val="22"/>
          <w:lang w:val="en-GB"/>
        </w:rPr>
        <w:t xml:space="preserve">. </w:t>
      </w:r>
      <w:r w:rsidRPr="002750A7">
        <w:rPr>
          <w:rFonts w:asciiTheme="majorHAnsi" w:hAnsiTheme="majorHAnsi" w:cstheme="majorHAnsi"/>
          <w:sz w:val="22"/>
          <w:szCs w:val="22"/>
          <w:lang w:val="en-GB"/>
        </w:rPr>
        <w:t>This evaluation comes</w:t>
      </w:r>
      <w:r w:rsidRPr="002A122C">
        <w:rPr>
          <w:rFonts w:asciiTheme="majorHAnsi" w:hAnsiTheme="majorHAnsi" w:cstheme="majorHAnsi"/>
          <w:sz w:val="22"/>
          <w:szCs w:val="22"/>
          <w:lang w:val="en-GB"/>
        </w:rPr>
        <w:t xml:space="preserve"> under the auspices of the COVID-19 Global </w:t>
      </w:r>
      <w:r>
        <w:rPr>
          <w:rFonts w:asciiTheme="majorHAnsi" w:hAnsiTheme="majorHAnsi" w:cstheme="majorHAnsi"/>
          <w:sz w:val="22"/>
          <w:szCs w:val="22"/>
          <w:lang w:val="en-GB"/>
        </w:rPr>
        <w:t>E</w:t>
      </w:r>
      <w:r w:rsidRPr="002A122C">
        <w:rPr>
          <w:rFonts w:asciiTheme="majorHAnsi" w:hAnsiTheme="majorHAnsi" w:cstheme="majorHAnsi"/>
          <w:sz w:val="22"/>
          <w:szCs w:val="22"/>
          <w:lang w:val="en-GB"/>
        </w:rPr>
        <w:t xml:space="preserve">valuation Coalition, </w:t>
      </w:r>
      <w:r w:rsidR="002134EB">
        <w:rPr>
          <w:rFonts w:asciiTheme="majorHAnsi" w:hAnsiTheme="majorHAnsi" w:cstheme="majorHAnsi"/>
          <w:sz w:val="22"/>
          <w:szCs w:val="22"/>
          <w:lang w:val="en-GB"/>
        </w:rPr>
        <w:t xml:space="preserve">a collaborative project of the OECD DAC Network on Development Evaluation, </w:t>
      </w:r>
      <w:r w:rsidRPr="002A122C">
        <w:rPr>
          <w:rFonts w:asciiTheme="majorHAnsi" w:hAnsiTheme="majorHAnsi" w:cstheme="majorHAnsi"/>
          <w:sz w:val="22"/>
          <w:szCs w:val="22"/>
          <w:lang w:val="en-GB"/>
        </w:rPr>
        <w:t xml:space="preserve">in which Belgium is a participant. This strategic joint evaluation contributes to learning and accountability to improve future crisis responses. It complements the evaluation efforts of individual </w:t>
      </w:r>
      <w:r>
        <w:rPr>
          <w:rFonts w:asciiTheme="majorHAnsi" w:hAnsiTheme="majorHAnsi" w:cstheme="majorHAnsi"/>
          <w:sz w:val="22"/>
          <w:szCs w:val="22"/>
          <w:lang w:val="en-GB"/>
        </w:rPr>
        <w:t>Development Assistance Committee (</w:t>
      </w:r>
      <w:r w:rsidRPr="002A122C">
        <w:rPr>
          <w:rFonts w:asciiTheme="majorHAnsi" w:hAnsiTheme="majorHAnsi" w:cstheme="majorHAnsi"/>
          <w:sz w:val="22"/>
          <w:szCs w:val="22"/>
          <w:lang w:val="en-GB"/>
        </w:rPr>
        <w:t>DAC</w:t>
      </w:r>
      <w:r>
        <w:rPr>
          <w:rFonts w:asciiTheme="majorHAnsi" w:hAnsiTheme="majorHAnsi" w:cstheme="majorHAnsi"/>
          <w:sz w:val="22"/>
          <w:szCs w:val="22"/>
          <w:lang w:val="en-GB"/>
        </w:rPr>
        <w:t>)</w:t>
      </w:r>
      <w:r w:rsidRPr="002A122C">
        <w:rPr>
          <w:rFonts w:asciiTheme="majorHAnsi" w:hAnsiTheme="majorHAnsi" w:cstheme="majorHAnsi"/>
          <w:sz w:val="22"/>
          <w:szCs w:val="22"/>
          <w:lang w:val="en-GB"/>
        </w:rPr>
        <w:t xml:space="preserve"> members, answering questions that no individual evaluation unit can answer alone. </w:t>
      </w:r>
    </w:p>
    <w:p w14:paraId="18C2628C" w14:textId="58557F69" w:rsidR="00A003CF" w:rsidRPr="00A003CF" w:rsidRDefault="00A003CF" w:rsidP="00541C63">
      <w:pPr>
        <w:pStyle w:val="ListParagraph"/>
        <w:numPr>
          <w:ilvl w:val="0"/>
          <w:numId w:val="27"/>
        </w:numPr>
        <w:spacing w:before="120" w:line="240" w:lineRule="auto"/>
        <w:rPr>
          <w:rFonts w:asciiTheme="majorHAnsi" w:hAnsiTheme="majorHAnsi" w:cstheme="majorHAnsi"/>
          <w:b/>
          <w:bCs/>
          <w:sz w:val="22"/>
          <w:szCs w:val="22"/>
          <w:lang w:val="en-GB"/>
        </w:rPr>
      </w:pPr>
      <w:r w:rsidRPr="00541C63">
        <w:rPr>
          <w:rFonts w:ascii="Calibri" w:hAnsi="Calibri" w:cs="Calibri"/>
          <w:b/>
          <w:bCs/>
          <w:color w:val="009999"/>
          <w:sz w:val="22"/>
          <w:szCs w:val="28"/>
          <w:lang w:val="en-GB"/>
        </w:rPr>
        <w:t>Present</w:t>
      </w:r>
      <w:r w:rsidR="005D2F75">
        <w:rPr>
          <w:rFonts w:ascii="Calibri" w:hAnsi="Calibri" w:cs="Calibri"/>
          <w:b/>
          <w:bCs/>
          <w:color w:val="009999"/>
          <w:sz w:val="22"/>
          <w:szCs w:val="28"/>
          <w:lang w:val="en-GB"/>
        </w:rPr>
        <w:t>ation of</w:t>
      </w:r>
      <w:r w:rsidRPr="00541C63">
        <w:rPr>
          <w:rFonts w:ascii="Calibri" w:hAnsi="Calibri" w:cs="Calibri"/>
          <w:b/>
          <w:bCs/>
          <w:color w:val="009999"/>
          <w:sz w:val="22"/>
          <w:szCs w:val="28"/>
          <w:lang w:val="en-GB"/>
        </w:rPr>
        <w:t xml:space="preserve"> the Covid-19 </w:t>
      </w:r>
      <w:r w:rsidR="00DD0C57" w:rsidRPr="00541C63">
        <w:rPr>
          <w:rFonts w:ascii="Calibri" w:hAnsi="Calibri" w:cs="Calibri"/>
          <w:b/>
          <w:bCs/>
          <w:color w:val="009999"/>
          <w:sz w:val="22"/>
          <w:szCs w:val="28"/>
          <w:lang w:val="en-GB"/>
        </w:rPr>
        <w:t>Global Evaluation Coalition</w:t>
      </w:r>
      <w:r w:rsidRPr="00541C63">
        <w:rPr>
          <w:rFonts w:ascii="Calibri" w:hAnsi="Calibri" w:cs="Calibri"/>
          <w:b/>
          <w:bCs/>
          <w:color w:val="009999"/>
          <w:sz w:val="22"/>
          <w:szCs w:val="28"/>
          <w:lang w:val="en-GB"/>
        </w:rPr>
        <w:t xml:space="preserve">: </w:t>
      </w:r>
    </w:p>
    <w:p w14:paraId="744B53B9" w14:textId="566A1703" w:rsidR="00A003CF" w:rsidRPr="002A122C" w:rsidRDefault="00A003CF" w:rsidP="002A122C">
      <w:pPr>
        <w:pStyle w:val="ListParagraph"/>
        <w:spacing w:after="120" w:line="240" w:lineRule="auto"/>
        <w:contextualSpacing w:val="0"/>
        <w:jc w:val="both"/>
        <w:rPr>
          <w:rFonts w:asciiTheme="majorHAnsi" w:hAnsiTheme="majorHAnsi" w:cstheme="majorHAnsi"/>
          <w:sz w:val="22"/>
          <w:szCs w:val="22"/>
          <w:lang w:val="en-GB"/>
        </w:rPr>
      </w:pPr>
      <w:r w:rsidRPr="002A122C">
        <w:rPr>
          <w:rFonts w:asciiTheme="majorHAnsi" w:hAnsiTheme="majorHAnsi" w:cstheme="majorHAnsi"/>
          <w:sz w:val="22"/>
          <w:szCs w:val="22"/>
          <w:lang w:val="en-GB"/>
        </w:rPr>
        <w:t>The COVID-19 Global Evaluation Coalition</w:t>
      </w:r>
      <w:r w:rsidR="00DD0C57">
        <w:rPr>
          <w:rFonts w:asciiTheme="majorHAnsi" w:hAnsiTheme="majorHAnsi" w:cstheme="majorHAnsi"/>
          <w:sz w:val="22"/>
          <w:szCs w:val="22"/>
          <w:lang w:val="en-GB"/>
        </w:rPr>
        <w:t xml:space="preserve"> (the Coalition)</w:t>
      </w:r>
      <w:r w:rsidRPr="002A122C">
        <w:rPr>
          <w:rFonts w:asciiTheme="majorHAnsi" w:hAnsiTheme="majorHAnsi" w:cstheme="majorHAnsi"/>
          <w:sz w:val="22"/>
          <w:szCs w:val="22"/>
          <w:lang w:val="en-GB"/>
        </w:rPr>
        <w:t xml:space="preserve"> is an independent collaborative project</w:t>
      </w:r>
      <w:r w:rsidR="002134EB">
        <w:rPr>
          <w:rFonts w:asciiTheme="majorHAnsi" w:hAnsiTheme="majorHAnsi" w:cstheme="majorHAnsi"/>
          <w:sz w:val="22"/>
          <w:szCs w:val="22"/>
          <w:lang w:val="en-GB"/>
        </w:rPr>
        <w:t xml:space="preserve"> of the DAC Network on Development Evaluation. </w:t>
      </w:r>
      <w:r w:rsidRPr="002A122C">
        <w:rPr>
          <w:rFonts w:asciiTheme="majorHAnsi" w:hAnsiTheme="majorHAnsi" w:cstheme="majorHAnsi"/>
          <w:sz w:val="22"/>
          <w:szCs w:val="22"/>
          <w:lang w:val="en-GB"/>
        </w:rPr>
        <w:t xml:space="preserve">The Coalition is made up of </w:t>
      </w:r>
      <w:r w:rsidR="00541C63">
        <w:rPr>
          <w:rFonts w:asciiTheme="majorHAnsi" w:hAnsiTheme="majorHAnsi" w:cstheme="majorHAnsi"/>
          <w:sz w:val="22"/>
          <w:szCs w:val="22"/>
          <w:lang w:val="en-GB"/>
        </w:rPr>
        <w:t xml:space="preserve">66 </w:t>
      </w:r>
      <w:r w:rsidRPr="002A122C">
        <w:rPr>
          <w:rFonts w:asciiTheme="majorHAnsi" w:hAnsiTheme="majorHAnsi" w:cstheme="majorHAnsi"/>
          <w:sz w:val="22"/>
          <w:szCs w:val="22"/>
          <w:lang w:val="en-GB"/>
        </w:rPr>
        <w:t xml:space="preserve">development evaluation units of countries, United Nations organisations and multilateral institutions. The Coalition provides credible evidence to inform international co-operation supporting non-clinical responses to and recovery from the COVID-19 pandemic in developing countries - helping to ensure that lessons are learned and that the global development community delivers on its promises. The </w:t>
      </w:r>
      <w:r w:rsidR="005C7438">
        <w:rPr>
          <w:rFonts w:asciiTheme="majorHAnsi" w:hAnsiTheme="majorHAnsi" w:cstheme="majorHAnsi"/>
          <w:sz w:val="22"/>
          <w:szCs w:val="22"/>
          <w:lang w:val="en-GB"/>
        </w:rPr>
        <w:t xml:space="preserve">OECD </w:t>
      </w:r>
      <w:r w:rsidRPr="002A122C">
        <w:rPr>
          <w:rFonts w:asciiTheme="majorHAnsi" w:hAnsiTheme="majorHAnsi" w:cstheme="majorHAnsi"/>
          <w:sz w:val="22"/>
          <w:szCs w:val="22"/>
          <w:lang w:val="en-GB"/>
        </w:rPr>
        <w:t xml:space="preserve">will </w:t>
      </w:r>
      <w:r w:rsidR="005C7438">
        <w:rPr>
          <w:rFonts w:asciiTheme="majorHAnsi" w:hAnsiTheme="majorHAnsi" w:cstheme="majorHAnsi"/>
          <w:sz w:val="22"/>
          <w:szCs w:val="22"/>
          <w:lang w:val="en-GB"/>
        </w:rPr>
        <w:t xml:space="preserve">carry out research and facilitation work, and communicate </w:t>
      </w:r>
      <w:r w:rsidRPr="002A122C">
        <w:rPr>
          <w:rFonts w:asciiTheme="majorHAnsi" w:hAnsiTheme="majorHAnsi" w:cstheme="majorHAnsi"/>
          <w:sz w:val="22"/>
          <w:szCs w:val="22"/>
          <w:lang w:val="en-GB"/>
        </w:rPr>
        <w:t>both individual participants’ evaluations and joint work involving multiple participants. This collaborative approach will maximize synergies and learning, while reducing duplication of effort in evaluating different elements of the COVID-19 pandemic response.</w:t>
      </w:r>
    </w:p>
    <w:p w14:paraId="086033D8" w14:textId="3EEA17A3" w:rsidR="00A003CF" w:rsidRPr="002A122C" w:rsidRDefault="00A003CF" w:rsidP="002A122C">
      <w:pPr>
        <w:pStyle w:val="ListParagraph"/>
        <w:spacing w:after="120" w:line="240" w:lineRule="auto"/>
        <w:contextualSpacing w:val="0"/>
        <w:jc w:val="both"/>
        <w:rPr>
          <w:rFonts w:asciiTheme="majorHAnsi" w:hAnsiTheme="majorHAnsi" w:cstheme="majorHAnsi"/>
          <w:sz w:val="22"/>
          <w:szCs w:val="22"/>
          <w:lang w:val="en-GB"/>
        </w:rPr>
      </w:pPr>
      <w:r w:rsidRPr="00DD0C57">
        <w:rPr>
          <w:rFonts w:asciiTheme="majorHAnsi" w:hAnsiTheme="majorHAnsi" w:cstheme="majorHAnsi"/>
          <w:b/>
          <w:bCs/>
          <w:sz w:val="22"/>
          <w:szCs w:val="22"/>
          <w:lang w:val="en-GB"/>
        </w:rPr>
        <w:t>Objectives:</w:t>
      </w:r>
      <w:r w:rsidRPr="002A122C">
        <w:rPr>
          <w:rFonts w:asciiTheme="majorHAnsi" w:hAnsiTheme="majorHAnsi" w:cstheme="majorHAnsi"/>
          <w:sz w:val="22"/>
          <w:szCs w:val="22"/>
          <w:lang w:val="en-GB"/>
        </w:rPr>
        <w:t xml:space="preserve"> The overall purpose of the Coalition is to foster collaboration, create synergies, and avoid duplication. The Coalition will improve the speed and quality of evaluation, analysis, and communication in ways that provide credible evaluative evidence that will:   </w:t>
      </w:r>
    </w:p>
    <w:p w14:paraId="53F16ECE" w14:textId="77777777" w:rsidR="00A003CF" w:rsidRPr="002A122C" w:rsidRDefault="00A003CF" w:rsidP="002A122C">
      <w:pPr>
        <w:pStyle w:val="ListParagraph"/>
        <w:numPr>
          <w:ilvl w:val="0"/>
          <w:numId w:val="26"/>
        </w:numPr>
        <w:spacing w:after="120" w:line="240" w:lineRule="auto"/>
        <w:contextualSpacing w:val="0"/>
        <w:jc w:val="both"/>
        <w:rPr>
          <w:rFonts w:asciiTheme="majorHAnsi" w:hAnsiTheme="majorHAnsi" w:cstheme="majorHAnsi"/>
          <w:sz w:val="22"/>
          <w:szCs w:val="22"/>
          <w:lang w:val="en-GB"/>
        </w:rPr>
      </w:pPr>
      <w:r w:rsidRPr="002A122C">
        <w:rPr>
          <w:rFonts w:asciiTheme="majorHAnsi" w:hAnsiTheme="majorHAnsi" w:cstheme="majorHAnsi"/>
          <w:sz w:val="22"/>
          <w:szCs w:val="22"/>
          <w:lang w:val="en-GB"/>
        </w:rPr>
        <w:t xml:space="preserve">Inform policy makers and implementers to support a more effective (collective) response to and recovery from the COVID-19 pandemic. </w:t>
      </w:r>
    </w:p>
    <w:p w14:paraId="7034BEDB" w14:textId="3D80CE25" w:rsidR="00A003CF" w:rsidRPr="002A122C" w:rsidRDefault="00A003CF" w:rsidP="002A122C">
      <w:pPr>
        <w:pStyle w:val="ListParagraph"/>
        <w:numPr>
          <w:ilvl w:val="0"/>
          <w:numId w:val="26"/>
        </w:numPr>
        <w:spacing w:after="120" w:line="240" w:lineRule="auto"/>
        <w:contextualSpacing w:val="0"/>
        <w:jc w:val="both"/>
        <w:rPr>
          <w:rFonts w:asciiTheme="majorHAnsi" w:hAnsiTheme="majorHAnsi" w:cstheme="majorHAnsi"/>
          <w:sz w:val="22"/>
          <w:szCs w:val="22"/>
          <w:lang w:val="en-GB"/>
        </w:rPr>
      </w:pPr>
      <w:r w:rsidRPr="002A122C">
        <w:rPr>
          <w:rFonts w:asciiTheme="majorHAnsi" w:hAnsiTheme="majorHAnsi" w:cstheme="majorHAnsi"/>
          <w:sz w:val="22"/>
          <w:szCs w:val="22"/>
          <w:lang w:val="en-GB"/>
        </w:rPr>
        <w:t xml:space="preserve">Generate lessons and good </w:t>
      </w:r>
      <w:r w:rsidR="00541C63" w:rsidRPr="002A122C">
        <w:rPr>
          <w:rFonts w:asciiTheme="majorHAnsi" w:hAnsiTheme="majorHAnsi" w:cstheme="majorHAnsi"/>
          <w:sz w:val="22"/>
          <w:szCs w:val="22"/>
          <w:lang w:val="en-GB"/>
        </w:rPr>
        <w:t>practices and</w:t>
      </w:r>
      <w:r w:rsidRPr="002A122C">
        <w:rPr>
          <w:rFonts w:asciiTheme="majorHAnsi" w:hAnsiTheme="majorHAnsi" w:cstheme="majorHAnsi"/>
          <w:sz w:val="22"/>
          <w:szCs w:val="22"/>
          <w:lang w:val="en-GB"/>
        </w:rPr>
        <w:t xml:space="preserve"> facilitate learning for future global crises.  </w:t>
      </w:r>
    </w:p>
    <w:p w14:paraId="328AD896" w14:textId="77777777" w:rsidR="00A003CF" w:rsidRPr="002A122C" w:rsidRDefault="00A003CF" w:rsidP="002A122C">
      <w:pPr>
        <w:pStyle w:val="ListParagraph"/>
        <w:numPr>
          <w:ilvl w:val="0"/>
          <w:numId w:val="26"/>
        </w:numPr>
        <w:spacing w:after="120" w:line="240" w:lineRule="auto"/>
        <w:contextualSpacing w:val="0"/>
        <w:jc w:val="both"/>
        <w:rPr>
          <w:rFonts w:asciiTheme="majorHAnsi" w:hAnsiTheme="majorHAnsi" w:cstheme="majorHAnsi"/>
          <w:sz w:val="22"/>
          <w:szCs w:val="22"/>
          <w:lang w:val="en-GB"/>
        </w:rPr>
      </w:pPr>
      <w:r w:rsidRPr="002A122C">
        <w:rPr>
          <w:rFonts w:asciiTheme="majorHAnsi" w:hAnsiTheme="majorHAnsi" w:cstheme="majorHAnsi"/>
          <w:sz w:val="22"/>
          <w:szCs w:val="22"/>
          <w:lang w:val="en-GB"/>
        </w:rPr>
        <w:t xml:space="preserve">Provide a basis for accountability of development partners, including the provision of information to the public.  </w:t>
      </w:r>
    </w:p>
    <w:p w14:paraId="13A3C43E" w14:textId="14441591" w:rsidR="00A003CF" w:rsidRPr="002A122C" w:rsidRDefault="00A003CF" w:rsidP="002A122C">
      <w:pPr>
        <w:pStyle w:val="ListParagraph"/>
        <w:spacing w:after="120" w:line="240" w:lineRule="auto"/>
        <w:contextualSpacing w:val="0"/>
        <w:jc w:val="both"/>
        <w:rPr>
          <w:rFonts w:asciiTheme="majorHAnsi" w:hAnsiTheme="majorHAnsi" w:cstheme="majorHAnsi"/>
          <w:sz w:val="22"/>
          <w:szCs w:val="22"/>
          <w:lang w:val="en-GB"/>
        </w:rPr>
      </w:pPr>
      <w:r w:rsidRPr="002A122C">
        <w:rPr>
          <w:rFonts w:asciiTheme="majorHAnsi" w:hAnsiTheme="majorHAnsi" w:cstheme="majorHAnsi"/>
          <w:sz w:val="22"/>
          <w:szCs w:val="22"/>
          <w:lang w:val="en-GB"/>
        </w:rPr>
        <w:t xml:space="preserve">To the extent possible, </w:t>
      </w:r>
      <w:r w:rsidR="00DD0C57">
        <w:rPr>
          <w:rFonts w:asciiTheme="majorHAnsi" w:hAnsiTheme="majorHAnsi" w:cstheme="majorHAnsi"/>
          <w:sz w:val="22"/>
          <w:szCs w:val="22"/>
          <w:lang w:val="en-GB"/>
        </w:rPr>
        <w:t>the Coalition aims</w:t>
      </w:r>
      <w:r w:rsidRPr="002A122C">
        <w:rPr>
          <w:rFonts w:asciiTheme="majorHAnsi" w:hAnsiTheme="majorHAnsi" w:cstheme="majorHAnsi"/>
          <w:sz w:val="22"/>
          <w:szCs w:val="22"/>
          <w:lang w:val="en-GB"/>
        </w:rPr>
        <w:t xml:space="preserve"> to provide evaluation evidence for the response as it is ongoing, making this “real time” evaluative work. In addition, ex-post evaluations will look at longer-term effects.  </w:t>
      </w:r>
    </w:p>
    <w:p w14:paraId="41B051CD" w14:textId="1740B16F" w:rsidR="00A003CF" w:rsidRPr="002A122C" w:rsidRDefault="002A122C" w:rsidP="002A122C">
      <w:pPr>
        <w:pStyle w:val="ListParagraph"/>
        <w:spacing w:after="120" w:line="240" w:lineRule="auto"/>
        <w:contextualSpacing w:val="0"/>
        <w:jc w:val="both"/>
        <w:rPr>
          <w:rFonts w:asciiTheme="majorHAnsi" w:hAnsiTheme="majorHAnsi" w:cstheme="majorHAnsi"/>
          <w:sz w:val="22"/>
          <w:szCs w:val="22"/>
          <w:lang w:val="en-GB"/>
        </w:rPr>
      </w:pPr>
      <w:r w:rsidRPr="002A122C">
        <w:rPr>
          <w:rFonts w:asciiTheme="majorHAnsi" w:hAnsiTheme="majorHAnsi" w:cstheme="majorHAnsi"/>
          <w:sz w:val="22"/>
          <w:szCs w:val="22"/>
          <w:lang w:val="en-GB"/>
        </w:rPr>
        <w:t>Overall,</w:t>
      </w:r>
      <w:r w:rsidR="00A003CF" w:rsidRPr="002A122C">
        <w:rPr>
          <w:rFonts w:asciiTheme="majorHAnsi" w:hAnsiTheme="majorHAnsi" w:cstheme="majorHAnsi"/>
          <w:sz w:val="22"/>
          <w:szCs w:val="22"/>
          <w:lang w:val="en-GB"/>
        </w:rPr>
        <w:t xml:space="preserve"> the </w:t>
      </w:r>
      <w:r w:rsidR="00DD0C57">
        <w:rPr>
          <w:rFonts w:asciiTheme="majorHAnsi" w:hAnsiTheme="majorHAnsi" w:cstheme="majorHAnsi"/>
          <w:sz w:val="22"/>
          <w:szCs w:val="22"/>
          <w:lang w:val="en-GB"/>
        </w:rPr>
        <w:t>Coalition’s</w:t>
      </w:r>
      <w:r w:rsidR="00A003CF" w:rsidRPr="002A122C">
        <w:rPr>
          <w:rFonts w:asciiTheme="majorHAnsi" w:hAnsiTheme="majorHAnsi" w:cstheme="majorHAnsi"/>
          <w:sz w:val="22"/>
          <w:szCs w:val="22"/>
          <w:lang w:val="en-GB"/>
        </w:rPr>
        <w:t xml:space="preserve"> work will examine, to varying degrees, the relevance, effectiveness, coherence, efficiency, impact and sustainability of the international development and humanitarian co-operation provided to ODA-eligible recipients across all three non-clinical dimensions of the pandemic: the direct health response, the secondary effects, and building back better. The evaluative work will focus on the role of international development and humanitarian co-operation, both bilateral and multilateral, and the extent to which partners effectively supported local and national efforts.</w:t>
      </w:r>
    </w:p>
    <w:p w14:paraId="5DE8015F" w14:textId="77777777" w:rsidR="00DD0C57" w:rsidRDefault="00DD0C57" w:rsidP="00DD0C57">
      <w:pPr>
        <w:pStyle w:val="ListParagraph"/>
        <w:keepNext/>
        <w:keepLines/>
        <w:numPr>
          <w:ilvl w:val="0"/>
          <w:numId w:val="27"/>
        </w:numPr>
        <w:spacing w:after="120" w:line="240" w:lineRule="auto"/>
        <w:contextualSpacing w:val="0"/>
        <w:jc w:val="both"/>
        <w:rPr>
          <w:rFonts w:asciiTheme="majorHAnsi" w:hAnsiTheme="majorHAnsi" w:cstheme="majorHAnsi"/>
          <w:b/>
          <w:bCs/>
          <w:sz w:val="22"/>
          <w:szCs w:val="22"/>
          <w:lang w:val="en-GB"/>
        </w:rPr>
      </w:pPr>
      <w:r w:rsidRPr="00541C63">
        <w:rPr>
          <w:rFonts w:ascii="Calibri" w:hAnsi="Calibri" w:cs="Calibri"/>
          <w:b/>
          <w:bCs/>
          <w:color w:val="009999"/>
          <w:sz w:val="22"/>
          <w:szCs w:val="28"/>
          <w:lang w:val="en-GB"/>
        </w:rPr>
        <w:lastRenderedPageBreak/>
        <w:t>T</w:t>
      </w:r>
      <w:r>
        <w:rPr>
          <w:rFonts w:ascii="Calibri" w:hAnsi="Calibri" w:cs="Calibri"/>
          <w:b/>
          <w:bCs/>
          <w:color w:val="009999"/>
          <w:sz w:val="22"/>
          <w:szCs w:val="28"/>
          <w:lang w:val="en-GB"/>
        </w:rPr>
        <w:t xml:space="preserve">erms </w:t>
      </w:r>
      <w:r w:rsidRPr="00541C63">
        <w:rPr>
          <w:rFonts w:ascii="Calibri" w:hAnsi="Calibri" w:cs="Calibri"/>
          <w:b/>
          <w:bCs/>
          <w:color w:val="009999"/>
          <w:sz w:val="22"/>
          <w:szCs w:val="28"/>
          <w:lang w:val="en-GB"/>
        </w:rPr>
        <w:t>o</w:t>
      </w:r>
      <w:r>
        <w:rPr>
          <w:rFonts w:ascii="Calibri" w:hAnsi="Calibri" w:cs="Calibri"/>
          <w:b/>
          <w:bCs/>
          <w:color w:val="009999"/>
          <w:sz w:val="22"/>
          <w:szCs w:val="28"/>
          <w:lang w:val="en-GB"/>
        </w:rPr>
        <w:t xml:space="preserve">f </w:t>
      </w:r>
      <w:r w:rsidRPr="00541C63">
        <w:rPr>
          <w:rFonts w:ascii="Calibri" w:hAnsi="Calibri" w:cs="Calibri"/>
          <w:b/>
          <w:bCs/>
          <w:color w:val="009999"/>
          <w:sz w:val="22"/>
          <w:szCs w:val="28"/>
          <w:lang w:val="en-GB"/>
        </w:rPr>
        <w:t>R</w:t>
      </w:r>
      <w:r>
        <w:rPr>
          <w:rFonts w:ascii="Calibri" w:hAnsi="Calibri" w:cs="Calibri"/>
          <w:b/>
          <w:bCs/>
          <w:color w:val="009999"/>
          <w:sz w:val="22"/>
          <w:szCs w:val="28"/>
          <w:lang w:val="en-GB"/>
        </w:rPr>
        <w:t>eference</w:t>
      </w:r>
      <w:r w:rsidRPr="00541C63">
        <w:rPr>
          <w:rFonts w:ascii="Calibri" w:hAnsi="Calibri" w:cs="Calibri"/>
          <w:b/>
          <w:bCs/>
          <w:color w:val="009999"/>
          <w:sz w:val="22"/>
          <w:szCs w:val="28"/>
          <w:lang w:val="en-GB"/>
        </w:rPr>
        <w:t xml:space="preserve"> of the </w:t>
      </w:r>
      <w:r>
        <w:rPr>
          <w:rFonts w:ascii="Calibri" w:hAnsi="Calibri" w:cs="Calibri"/>
          <w:b/>
          <w:bCs/>
          <w:color w:val="009999"/>
          <w:sz w:val="22"/>
          <w:szCs w:val="28"/>
          <w:lang w:val="en-GB"/>
        </w:rPr>
        <w:t>Strategic Joint E</w:t>
      </w:r>
      <w:r w:rsidRPr="00541C63">
        <w:rPr>
          <w:rFonts w:ascii="Calibri" w:hAnsi="Calibri" w:cs="Calibri"/>
          <w:b/>
          <w:bCs/>
          <w:color w:val="009999"/>
          <w:sz w:val="22"/>
          <w:szCs w:val="28"/>
          <w:lang w:val="en-GB"/>
        </w:rPr>
        <w:t>valuation:</w:t>
      </w:r>
    </w:p>
    <w:p w14:paraId="1D462F32" w14:textId="5B8FE1A2" w:rsidR="00A14626" w:rsidRPr="00642A37" w:rsidRDefault="00DD0C57" w:rsidP="00642A37">
      <w:pPr>
        <w:pStyle w:val="ListParagraph"/>
        <w:keepNext/>
        <w:keepLines/>
        <w:spacing w:after="120" w:line="240" w:lineRule="auto"/>
        <w:contextualSpacing w:val="0"/>
        <w:jc w:val="both"/>
        <w:rPr>
          <w:rFonts w:asciiTheme="majorHAnsi" w:hAnsiTheme="majorHAnsi" w:cstheme="majorHAnsi"/>
          <w:b/>
          <w:bCs/>
          <w:color w:val="0000FF"/>
          <w:sz w:val="22"/>
          <w:szCs w:val="22"/>
          <w:u w:val="single"/>
          <w:lang w:val="en-GB"/>
        </w:rPr>
      </w:pPr>
      <w:r>
        <w:rPr>
          <w:rFonts w:asciiTheme="majorHAnsi" w:hAnsiTheme="majorHAnsi" w:cstheme="majorHAnsi"/>
          <w:sz w:val="22"/>
          <w:szCs w:val="22"/>
          <w:lang w:val="en-GB"/>
        </w:rPr>
        <w:t>Please find the draft terms of reference of the evaluation</w:t>
      </w:r>
      <w:r w:rsidR="00A7223D">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at this link: </w:t>
      </w:r>
      <w:hyperlink r:id="rId10" w:history="1">
        <w:r>
          <w:rPr>
            <w:rStyle w:val="Hyperlink"/>
            <w:rFonts w:asciiTheme="majorHAnsi" w:hAnsiTheme="majorHAnsi" w:cstheme="majorHAnsi"/>
            <w:b/>
            <w:bCs/>
            <w:sz w:val="22"/>
            <w:szCs w:val="22"/>
            <w:lang w:val="en-GB"/>
          </w:rPr>
          <w:t>Draft T</w:t>
        </w:r>
        <w:r w:rsidRPr="00D80632">
          <w:rPr>
            <w:rStyle w:val="Hyperlink"/>
            <w:rFonts w:asciiTheme="majorHAnsi" w:hAnsiTheme="majorHAnsi" w:cstheme="majorHAnsi"/>
            <w:b/>
            <w:bCs/>
            <w:sz w:val="22"/>
            <w:szCs w:val="22"/>
            <w:lang w:val="en-GB"/>
          </w:rPr>
          <w:t>erms of Reference (</w:t>
        </w:r>
        <w:proofErr w:type="spellStart"/>
        <w:r w:rsidRPr="00D80632">
          <w:rPr>
            <w:rStyle w:val="Hyperlink"/>
            <w:rFonts w:asciiTheme="majorHAnsi" w:hAnsiTheme="majorHAnsi" w:cstheme="majorHAnsi"/>
            <w:b/>
            <w:bCs/>
            <w:sz w:val="22"/>
            <w:szCs w:val="22"/>
            <w:lang w:val="en-GB"/>
          </w:rPr>
          <w:t>ToR</w:t>
        </w:r>
        <w:proofErr w:type="spellEnd"/>
        <w:r w:rsidRPr="00D80632">
          <w:rPr>
            <w:rStyle w:val="Hyperlink"/>
            <w:rFonts w:asciiTheme="majorHAnsi" w:hAnsiTheme="majorHAnsi" w:cstheme="majorHAnsi"/>
            <w:b/>
            <w:bCs/>
            <w:sz w:val="22"/>
            <w:szCs w:val="22"/>
            <w:lang w:val="en-GB"/>
          </w:rPr>
          <w:t>) - Strategic Joint Evaluation</w:t>
        </w:r>
      </w:hyperlink>
    </w:p>
    <w:p w14:paraId="0548FA9E" w14:textId="599AA8AF" w:rsidR="00A14626" w:rsidRDefault="00A14626" w:rsidP="00541C63">
      <w:pPr>
        <w:pStyle w:val="ListParagraph"/>
        <w:numPr>
          <w:ilvl w:val="0"/>
          <w:numId w:val="27"/>
        </w:numPr>
        <w:spacing w:after="120" w:line="240" w:lineRule="auto"/>
        <w:contextualSpacing w:val="0"/>
        <w:jc w:val="both"/>
        <w:rPr>
          <w:rFonts w:ascii="Calibri" w:hAnsi="Calibri" w:cs="Calibri"/>
          <w:b/>
          <w:bCs/>
          <w:color w:val="009999"/>
          <w:sz w:val="22"/>
          <w:szCs w:val="28"/>
          <w:lang w:val="en-GB"/>
        </w:rPr>
      </w:pPr>
      <w:r>
        <w:rPr>
          <w:rFonts w:ascii="Calibri" w:hAnsi="Calibri" w:cs="Calibri"/>
          <w:b/>
          <w:bCs/>
          <w:color w:val="009999"/>
          <w:sz w:val="22"/>
          <w:szCs w:val="28"/>
          <w:lang w:val="en-GB"/>
        </w:rPr>
        <w:t>Evaluation steering group</w:t>
      </w:r>
    </w:p>
    <w:p w14:paraId="7DE5ABE9" w14:textId="2AD3D143" w:rsidR="006804B2" w:rsidRPr="002134EB" w:rsidRDefault="006804B2" w:rsidP="002134EB">
      <w:pPr>
        <w:pStyle w:val="ListParagraph"/>
        <w:spacing w:after="120" w:line="240" w:lineRule="auto"/>
        <w:contextualSpacing w:val="0"/>
        <w:jc w:val="both"/>
        <w:rPr>
          <w:rFonts w:asciiTheme="majorHAnsi" w:hAnsiTheme="majorHAnsi" w:cstheme="majorHAnsi"/>
          <w:sz w:val="22"/>
          <w:szCs w:val="22"/>
        </w:rPr>
      </w:pPr>
      <w:r w:rsidRPr="006804B2">
        <w:rPr>
          <w:rFonts w:asciiTheme="majorHAnsi" w:hAnsiTheme="majorHAnsi" w:cstheme="majorHAnsi"/>
          <w:sz w:val="22"/>
          <w:szCs w:val="22"/>
        </w:rPr>
        <w:t>An Evaluation Steering Group established for this evaluation</w:t>
      </w:r>
      <w:r w:rsidR="002134EB">
        <w:rPr>
          <w:rFonts w:asciiTheme="majorHAnsi" w:hAnsiTheme="majorHAnsi" w:cstheme="majorHAnsi"/>
          <w:sz w:val="22"/>
          <w:szCs w:val="22"/>
        </w:rPr>
        <w:t xml:space="preserve"> </w:t>
      </w:r>
      <w:r w:rsidRPr="006804B2">
        <w:rPr>
          <w:rFonts w:asciiTheme="majorHAnsi" w:hAnsiTheme="majorHAnsi" w:cstheme="majorHAnsi"/>
          <w:sz w:val="22"/>
          <w:szCs w:val="22"/>
        </w:rPr>
        <w:t>support</w:t>
      </w:r>
      <w:r w:rsidR="002134EB">
        <w:rPr>
          <w:rFonts w:asciiTheme="majorHAnsi" w:hAnsiTheme="majorHAnsi" w:cstheme="majorHAnsi"/>
          <w:sz w:val="22"/>
          <w:szCs w:val="22"/>
        </w:rPr>
        <w:t>s</w:t>
      </w:r>
      <w:r w:rsidRPr="006804B2">
        <w:rPr>
          <w:rFonts w:asciiTheme="majorHAnsi" w:hAnsiTheme="majorHAnsi" w:cstheme="majorHAnsi"/>
          <w:sz w:val="22"/>
          <w:szCs w:val="22"/>
        </w:rPr>
        <w:t xml:space="preserve"> the Evaluation Team and act</w:t>
      </w:r>
      <w:r w:rsidR="002134EB">
        <w:rPr>
          <w:rFonts w:asciiTheme="majorHAnsi" w:hAnsiTheme="majorHAnsi" w:cstheme="majorHAnsi"/>
          <w:sz w:val="22"/>
          <w:szCs w:val="22"/>
        </w:rPr>
        <w:t>s</w:t>
      </w:r>
      <w:r w:rsidRPr="006804B2">
        <w:rPr>
          <w:rFonts w:asciiTheme="majorHAnsi" w:hAnsiTheme="majorHAnsi" w:cstheme="majorHAnsi"/>
          <w:sz w:val="22"/>
          <w:szCs w:val="22"/>
        </w:rPr>
        <w:t xml:space="preserve"> as an advisory body for the Strategic Joint Evaluation, supporting a credible, transparent, inclusive and quality evaluation process. The Group will be comprised of individuals representing the diverse participants in the Coalition and will include a sufficient base of expertise.</w:t>
      </w:r>
      <w:r w:rsidR="00642A37">
        <w:rPr>
          <w:rFonts w:asciiTheme="majorHAnsi" w:hAnsiTheme="majorHAnsi" w:cstheme="majorHAnsi"/>
          <w:sz w:val="22"/>
          <w:szCs w:val="22"/>
        </w:rPr>
        <w:t xml:space="preserve"> </w:t>
      </w:r>
      <w:r w:rsidRPr="006804B2">
        <w:rPr>
          <w:rFonts w:asciiTheme="majorHAnsi" w:hAnsiTheme="majorHAnsi" w:cstheme="majorHAnsi"/>
          <w:sz w:val="22"/>
          <w:szCs w:val="22"/>
        </w:rPr>
        <w:t xml:space="preserve">The Special Evaluation Office </w:t>
      </w:r>
      <w:r>
        <w:rPr>
          <w:rFonts w:asciiTheme="majorHAnsi" w:hAnsiTheme="majorHAnsi" w:cstheme="majorHAnsi"/>
          <w:sz w:val="22"/>
          <w:szCs w:val="22"/>
        </w:rPr>
        <w:t xml:space="preserve">of the Belgian Development Cooperation </w:t>
      </w:r>
      <w:r w:rsidR="002134EB">
        <w:rPr>
          <w:rFonts w:asciiTheme="majorHAnsi" w:hAnsiTheme="majorHAnsi" w:cstheme="majorHAnsi"/>
          <w:sz w:val="22"/>
          <w:szCs w:val="22"/>
        </w:rPr>
        <w:t>is</w:t>
      </w:r>
      <w:r w:rsidRPr="006804B2">
        <w:rPr>
          <w:rFonts w:asciiTheme="majorHAnsi" w:hAnsiTheme="majorHAnsi" w:cstheme="majorHAnsi"/>
          <w:sz w:val="22"/>
          <w:szCs w:val="22"/>
        </w:rPr>
        <w:t xml:space="preserve"> represented within this steering group.</w:t>
      </w:r>
    </w:p>
    <w:p w14:paraId="1F56F76D" w14:textId="3F85A648" w:rsidR="00A003CF" w:rsidRPr="00541C63" w:rsidRDefault="00A003CF" w:rsidP="00541C63">
      <w:pPr>
        <w:pStyle w:val="ListParagraph"/>
        <w:numPr>
          <w:ilvl w:val="0"/>
          <w:numId w:val="27"/>
        </w:numPr>
        <w:spacing w:after="120" w:line="240" w:lineRule="auto"/>
        <w:contextualSpacing w:val="0"/>
        <w:jc w:val="both"/>
        <w:rPr>
          <w:rFonts w:ascii="Calibri" w:hAnsi="Calibri" w:cs="Calibri"/>
          <w:b/>
          <w:bCs/>
          <w:color w:val="009999"/>
          <w:sz w:val="22"/>
          <w:szCs w:val="28"/>
          <w:lang w:val="en-GB"/>
        </w:rPr>
      </w:pPr>
      <w:r w:rsidRPr="00541C63">
        <w:rPr>
          <w:rFonts w:ascii="Calibri" w:hAnsi="Calibri" w:cs="Calibri"/>
          <w:b/>
          <w:bCs/>
          <w:color w:val="009999"/>
          <w:sz w:val="22"/>
          <w:szCs w:val="28"/>
          <w:lang w:val="en-GB"/>
        </w:rPr>
        <w:t xml:space="preserve">Total </w:t>
      </w:r>
      <w:r w:rsidR="00DD0C57">
        <w:rPr>
          <w:rFonts w:ascii="Calibri" w:hAnsi="Calibri" w:cs="Calibri"/>
          <w:b/>
          <w:bCs/>
          <w:color w:val="009999"/>
          <w:sz w:val="22"/>
          <w:szCs w:val="28"/>
          <w:lang w:val="en-GB"/>
        </w:rPr>
        <w:t xml:space="preserve">estimated </w:t>
      </w:r>
      <w:r w:rsidRPr="00541C63">
        <w:rPr>
          <w:rFonts w:ascii="Calibri" w:hAnsi="Calibri" w:cs="Calibri"/>
          <w:b/>
          <w:bCs/>
          <w:color w:val="009999"/>
          <w:sz w:val="22"/>
          <w:szCs w:val="28"/>
          <w:lang w:val="en-GB"/>
        </w:rPr>
        <w:t xml:space="preserve">budget of the </w:t>
      </w:r>
      <w:r w:rsidR="00DD0C57">
        <w:rPr>
          <w:rFonts w:ascii="Calibri" w:hAnsi="Calibri" w:cs="Calibri"/>
          <w:b/>
          <w:bCs/>
          <w:color w:val="009999"/>
          <w:sz w:val="22"/>
          <w:szCs w:val="28"/>
          <w:lang w:val="en-GB"/>
        </w:rPr>
        <w:t>Strategic Joint E</w:t>
      </w:r>
      <w:r w:rsidRPr="00541C63">
        <w:rPr>
          <w:rFonts w:ascii="Calibri" w:hAnsi="Calibri" w:cs="Calibri"/>
          <w:b/>
          <w:bCs/>
          <w:color w:val="009999"/>
          <w:sz w:val="22"/>
          <w:szCs w:val="28"/>
          <w:lang w:val="en-GB"/>
        </w:rPr>
        <w:t>valuation</w:t>
      </w:r>
    </w:p>
    <w:tbl>
      <w:tblPr>
        <w:tblW w:w="0" w:type="auto"/>
        <w:tblInd w:w="780" w:type="dxa"/>
        <w:tblLayout w:type="fixed"/>
        <w:tblCellMar>
          <w:left w:w="30" w:type="dxa"/>
          <w:right w:w="30" w:type="dxa"/>
        </w:tblCellMar>
        <w:tblLook w:val="04A0" w:firstRow="1" w:lastRow="0" w:firstColumn="1" w:lastColumn="0" w:noHBand="0" w:noVBand="1"/>
      </w:tblPr>
      <w:tblGrid>
        <w:gridCol w:w="4533"/>
        <w:gridCol w:w="1429"/>
        <w:gridCol w:w="54"/>
        <w:gridCol w:w="87"/>
      </w:tblGrid>
      <w:tr w:rsidR="00DD0C57" w14:paraId="124787F4" w14:textId="77777777" w:rsidTr="005F0E8C">
        <w:trPr>
          <w:gridAfter w:val="2"/>
          <w:wAfter w:w="141" w:type="dxa"/>
          <w:trHeight w:val="892"/>
        </w:trPr>
        <w:tc>
          <w:tcPr>
            <w:tcW w:w="5962" w:type="dxa"/>
            <w:gridSpan w:val="2"/>
            <w:shd w:val="solid" w:color="FFFFFF" w:fill="auto"/>
            <w:hideMark/>
          </w:tcPr>
          <w:p w14:paraId="53F2522E" w14:textId="20BB994F" w:rsidR="00DD0C57" w:rsidRDefault="00DD0C57" w:rsidP="00DD0C57">
            <w:pPr>
              <w:jc w:val="center"/>
              <w:rPr>
                <w:rFonts w:eastAsia="Times New Roman"/>
                <w:b/>
                <w:bCs/>
                <w:color w:val="000000"/>
                <w:sz w:val="28"/>
                <w:szCs w:val="28"/>
                <w:lang w:eastAsia="en-GB"/>
              </w:rPr>
            </w:pPr>
            <w:r>
              <w:rPr>
                <w:rFonts w:eastAsia="Times New Roman"/>
                <w:b/>
                <w:bCs/>
                <w:color w:val="000000"/>
                <w:sz w:val="28"/>
                <w:szCs w:val="28"/>
                <w:lang w:eastAsia="en-GB"/>
              </w:rPr>
              <w:t>Total Estimated budget (EUR) 2023-2024</w:t>
            </w:r>
            <w:r>
              <w:rPr>
                <w:rFonts w:eastAsia="Times New Roman"/>
                <w:b/>
                <w:bCs/>
                <w:color w:val="000000"/>
                <w:sz w:val="28"/>
                <w:szCs w:val="28"/>
                <w:lang w:eastAsia="en-GB"/>
              </w:rPr>
              <w:br/>
            </w:r>
            <w:r w:rsidRPr="001848DD">
              <w:rPr>
                <w:b/>
                <w:bCs/>
                <w:sz w:val="28"/>
                <w:szCs w:val="28"/>
              </w:rPr>
              <w:t xml:space="preserve">Covid-19 Global Evaluation </w:t>
            </w:r>
          </w:p>
        </w:tc>
      </w:tr>
      <w:tr w:rsidR="00DD0C57" w14:paraId="28B8951A" w14:textId="77777777" w:rsidTr="005F0E8C">
        <w:trPr>
          <w:gridAfter w:val="2"/>
          <w:wAfter w:w="141" w:type="dxa"/>
          <w:trHeight w:val="379"/>
        </w:trPr>
        <w:tc>
          <w:tcPr>
            <w:tcW w:w="4533" w:type="dxa"/>
            <w:tcBorders>
              <w:top w:val="single" w:sz="12" w:space="0" w:color="969696"/>
              <w:left w:val="single" w:sz="12" w:space="0" w:color="969696"/>
              <w:bottom w:val="nil"/>
              <w:right w:val="single" w:sz="6" w:space="0" w:color="969696"/>
            </w:tcBorders>
            <w:shd w:val="clear" w:color="auto" w:fill="33CCCC"/>
            <w:hideMark/>
          </w:tcPr>
          <w:p w14:paraId="221055CC" w14:textId="77777777" w:rsidR="00DD0C57" w:rsidRDefault="00DD0C57" w:rsidP="009F36CB">
            <w:pPr>
              <w:autoSpaceDE w:val="0"/>
              <w:autoSpaceDN w:val="0"/>
              <w:adjustRightInd w:val="0"/>
              <w:rPr>
                <w:rFonts w:eastAsia="Times New Roman"/>
                <w:b/>
                <w:bCs/>
                <w:color w:val="FFFFFF"/>
                <w:sz w:val="20"/>
                <w:szCs w:val="20"/>
                <w:lang w:eastAsia="en-GB"/>
              </w:rPr>
            </w:pPr>
            <w:r>
              <w:rPr>
                <w:rFonts w:eastAsia="Times New Roman"/>
                <w:b/>
                <w:bCs/>
                <w:color w:val="FFFFFF"/>
                <w:sz w:val="20"/>
                <w:szCs w:val="20"/>
                <w:lang w:eastAsia="en-GB"/>
              </w:rPr>
              <w:t>ITEMS</w:t>
            </w:r>
          </w:p>
        </w:tc>
        <w:tc>
          <w:tcPr>
            <w:tcW w:w="1429" w:type="dxa"/>
            <w:tcBorders>
              <w:top w:val="single" w:sz="12" w:space="0" w:color="969696"/>
              <w:left w:val="single" w:sz="6" w:space="0" w:color="969696"/>
              <w:bottom w:val="single" w:sz="6" w:space="0" w:color="969696"/>
              <w:right w:val="single" w:sz="6" w:space="0" w:color="969696"/>
            </w:tcBorders>
            <w:shd w:val="clear" w:color="auto" w:fill="33CCCC"/>
            <w:hideMark/>
          </w:tcPr>
          <w:p w14:paraId="208EFE25" w14:textId="77777777" w:rsidR="00DD0C57" w:rsidRDefault="00DD0C57" w:rsidP="009F36CB">
            <w:pPr>
              <w:autoSpaceDE w:val="0"/>
              <w:autoSpaceDN w:val="0"/>
              <w:adjustRightInd w:val="0"/>
              <w:jc w:val="center"/>
              <w:rPr>
                <w:rFonts w:eastAsia="Times New Roman"/>
                <w:b/>
                <w:bCs/>
                <w:color w:val="FFFFFF"/>
                <w:sz w:val="20"/>
                <w:szCs w:val="20"/>
                <w:lang w:eastAsia="en-GB"/>
              </w:rPr>
            </w:pPr>
            <w:r>
              <w:rPr>
                <w:rFonts w:eastAsia="Times New Roman"/>
                <w:b/>
                <w:bCs/>
                <w:color w:val="FFFFFF"/>
                <w:sz w:val="20"/>
                <w:szCs w:val="20"/>
                <w:lang w:eastAsia="en-GB"/>
              </w:rPr>
              <w:t>TOTAL EUR</w:t>
            </w:r>
          </w:p>
        </w:tc>
      </w:tr>
      <w:tr w:rsidR="00DD0C57" w14:paraId="2ACE0A5B" w14:textId="77777777" w:rsidTr="005F0E8C">
        <w:trPr>
          <w:gridAfter w:val="2"/>
          <w:wAfter w:w="141" w:type="dxa"/>
          <w:trHeight w:val="138"/>
        </w:trPr>
        <w:tc>
          <w:tcPr>
            <w:tcW w:w="4533" w:type="dxa"/>
            <w:tcBorders>
              <w:top w:val="nil"/>
              <w:left w:val="single" w:sz="12" w:space="0" w:color="969696"/>
              <w:bottom w:val="nil"/>
              <w:right w:val="single" w:sz="6" w:space="0" w:color="969696"/>
            </w:tcBorders>
            <w:shd w:val="solid" w:color="FFFFFF" w:fill="auto"/>
            <w:hideMark/>
          </w:tcPr>
          <w:p w14:paraId="4C3CE11C" w14:textId="77777777" w:rsidR="00DD0C57" w:rsidRDefault="00DD0C57" w:rsidP="009F36CB">
            <w:pPr>
              <w:autoSpaceDE w:val="0"/>
              <w:autoSpaceDN w:val="0"/>
              <w:adjustRightInd w:val="0"/>
              <w:rPr>
                <w:rFonts w:eastAsia="Times New Roman"/>
                <w:color w:val="000000"/>
                <w:sz w:val="20"/>
                <w:szCs w:val="20"/>
                <w:lang w:eastAsia="en-GB"/>
              </w:rPr>
            </w:pPr>
            <w:r>
              <w:rPr>
                <w:rFonts w:eastAsia="Times New Roman"/>
                <w:color w:val="000000"/>
                <w:sz w:val="20"/>
                <w:szCs w:val="20"/>
                <w:lang w:eastAsia="en-GB"/>
              </w:rPr>
              <w:t>Staff costs</w:t>
            </w:r>
          </w:p>
        </w:tc>
        <w:tc>
          <w:tcPr>
            <w:tcW w:w="1429" w:type="dxa"/>
            <w:tcBorders>
              <w:top w:val="single" w:sz="6" w:space="0" w:color="969696"/>
              <w:left w:val="single" w:sz="6" w:space="0" w:color="969696"/>
              <w:bottom w:val="nil"/>
              <w:right w:val="single" w:sz="4" w:space="0" w:color="auto"/>
            </w:tcBorders>
            <w:shd w:val="solid" w:color="FFFFFF" w:fill="auto"/>
            <w:hideMark/>
          </w:tcPr>
          <w:p w14:paraId="4F091741" w14:textId="16A5415D" w:rsidR="00DD0C57" w:rsidRDefault="00DD0C57" w:rsidP="009F36CB">
            <w:pPr>
              <w:autoSpaceDE w:val="0"/>
              <w:autoSpaceDN w:val="0"/>
              <w:adjustRightInd w:val="0"/>
              <w:jc w:val="right"/>
              <w:rPr>
                <w:rFonts w:eastAsia="Times New Roman"/>
                <w:color w:val="000000"/>
                <w:sz w:val="20"/>
                <w:szCs w:val="20"/>
                <w:lang w:eastAsia="en-GB"/>
              </w:rPr>
            </w:pPr>
            <w:r>
              <w:rPr>
                <w:rFonts w:eastAsia="Times New Roman"/>
                <w:color w:val="000000"/>
                <w:sz w:val="20"/>
                <w:szCs w:val="20"/>
                <w:lang w:eastAsia="en-GB"/>
              </w:rPr>
              <w:t>490,497</w:t>
            </w:r>
          </w:p>
        </w:tc>
      </w:tr>
      <w:tr w:rsidR="00DD0C57" w14:paraId="3257F9B3" w14:textId="77777777" w:rsidTr="005F0E8C">
        <w:trPr>
          <w:gridAfter w:val="2"/>
          <w:wAfter w:w="141" w:type="dxa"/>
          <w:trHeight w:val="138"/>
        </w:trPr>
        <w:tc>
          <w:tcPr>
            <w:tcW w:w="4533" w:type="dxa"/>
            <w:tcBorders>
              <w:top w:val="nil"/>
              <w:left w:val="single" w:sz="12" w:space="0" w:color="969696"/>
              <w:bottom w:val="nil"/>
              <w:right w:val="nil"/>
            </w:tcBorders>
            <w:shd w:val="solid" w:color="FFFFFF" w:fill="auto"/>
            <w:hideMark/>
          </w:tcPr>
          <w:p w14:paraId="3D70148F" w14:textId="77777777" w:rsidR="00DD0C57" w:rsidRDefault="00DD0C57" w:rsidP="009F36CB">
            <w:pPr>
              <w:autoSpaceDE w:val="0"/>
              <w:autoSpaceDN w:val="0"/>
              <w:adjustRightInd w:val="0"/>
              <w:rPr>
                <w:rFonts w:eastAsia="Times New Roman"/>
                <w:color w:val="000000"/>
                <w:sz w:val="20"/>
                <w:szCs w:val="20"/>
                <w:lang w:eastAsia="en-GB"/>
              </w:rPr>
            </w:pPr>
            <w:r>
              <w:rPr>
                <w:rFonts w:eastAsia="Times New Roman"/>
                <w:color w:val="000000"/>
                <w:sz w:val="20"/>
                <w:szCs w:val="20"/>
                <w:lang w:eastAsia="en-GB"/>
              </w:rPr>
              <w:t>Per Person chargeback ¹</w:t>
            </w:r>
          </w:p>
        </w:tc>
        <w:tc>
          <w:tcPr>
            <w:tcW w:w="1429" w:type="dxa"/>
            <w:tcBorders>
              <w:top w:val="single" w:sz="6" w:space="0" w:color="969696"/>
              <w:left w:val="single" w:sz="6" w:space="0" w:color="969696"/>
              <w:bottom w:val="nil"/>
              <w:right w:val="single" w:sz="4" w:space="0" w:color="auto"/>
            </w:tcBorders>
            <w:shd w:val="solid" w:color="FFFFFF" w:fill="auto"/>
            <w:hideMark/>
          </w:tcPr>
          <w:p w14:paraId="19F04A1D" w14:textId="77777777" w:rsidR="00DD0C57" w:rsidRDefault="00DD0C57" w:rsidP="009F36CB">
            <w:pPr>
              <w:autoSpaceDE w:val="0"/>
              <w:autoSpaceDN w:val="0"/>
              <w:adjustRightInd w:val="0"/>
              <w:jc w:val="right"/>
              <w:rPr>
                <w:rFonts w:eastAsia="Times New Roman"/>
                <w:color w:val="000000"/>
                <w:sz w:val="20"/>
                <w:szCs w:val="20"/>
                <w:lang w:eastAsia="en-GB"/>
              </w:rPr>
            </w:pPr>
            <w:r>
              <w:rPr>
                <w:rFonts w:eastAsia="Times New Roman"/>
                <w:color w:val="000000"/>
                <w:sz w:val="20"/>
                <w:szCs w:val="20"/>
                <w:lang w:eastAsia="en-GB"/>
              </w:rPr>
              <w:t>67,909</w:t>
            </w:r>
          </w:p>
        </w:tc>
      </w:tr>
      <w:tr w:rsidR="00DD0C57" w14:paraId="212EB114" w14:textId="77777777" w:rsidTr="005F0E8C">
        <w:trPr>
          <w:gridAfter w:val="2"/>
          <w:wAfter w:w="141" w:type="dxa"/>
          <w:trHeight w:val="138"/>
        </w:trPr>
        <w:tc>
          <w:tcPr>
            <w:tcW w:w="4533" w:type="dxa"/>
            <w:tcBorders>
              <w:top w:val="nil"/>
              <w:left w:val="single" w:sz="12" w:space="0" w:color="969696"/>
              <w:bottom w:val="nil"/>
              <w:right w:val="nil"/>
            </w:tcBorders>
            <w:shd w:val="solid" w:color="FFFFFF" w:fill="auto"/>
            <w:hideMark/>
          </w:tcPr>
          <w:p w14:paraId="74132696" w14:textId="77777777" w:rsidR="00DD0C57" w:rsidRDefault="00DD0C57" w:rsidP="009F36CB">
            <w:pPr>
              <w:autoSpaceDE w:val="0"/>
              <w:autoSpaceDN w:val="0"/>
              <w:adjustRightInd w:val="0"/>
              <w:rPr>
                <w:rFonts w:eastAsia="Times New Roman"/>
                <w:color w:val="000000"/>
                <w:sz w:val="20"/>
                <w:szCs w:val="20"/>
                <w:lang w:eastAsia="en-GB"/>
              </w:rPr>
            </w:pPr>
            <w:r>
              <w:rPr>
                <w:rFonts w:eastAsia="Times New Roman"/>
                <w:color w:val="000000"/>
                <w:sz w:val="20"/>
                <w:szCs w:val="20"/>
                <w:lang w:eastAsia="en-GB"/>
              </w:rPr>
              <w:t>Intellectual Services</w:t>
            </w:r>
          </w:p>
        </w:tc>
        <w:tc>
          <w:tcPr>
            <w:tcW w:w="1429" w:type="dxa"/>
            <w:tcBorders>
              <w:top w:val="single" w:sz="6" w:space="0" w:color="969696"/>
              <w:left w:val="single" w:sz="6" w:space="0" w:color="969696"/>
              <w:bottom w:val="nil"/>
              <w:right w:val="single" w:sz="4" w:space="0" w:color="auto"/>
            </w:tcBorders>
            <w:shd w:val="solid" w:color="FFFFFF" w:fill="auto"/>
            <w:hideMark/>
          </w:tcPr>
          <w:p w14:paraId="2EC6F195" w14:textId="4F267923" w:rsidR="00DD0C57" w:rsidRDefault="002134EB" w:rsidP="009F36CB">
            <w:pPr>
              <w:autoSpaceDE w:val="0"/>
              <w:autoSpaceDN w:val="0"/>
              <w:adjustRightInd w:val="0"/>
              <w:jc w:val="right"/>
              <w:rPr>
                <w:rFonts w:eastAsia="Times New Roman"/>
                <w:color w:val="000000"/>
                <w:sz w:val="20"/>
                <w:szCs w:val="20"/>
                <w:lang w:eastAsia="en-GB"/>
              </w:rPr>
            </w:pPr>
            <w:r>
              <w:rPr>
                <w:rFonts w:eastAsia="Times New Roman"/>
                <w:color w:val="000000"/>
                <w:sz w:val="20"/>
                <w:szCs w:val="20"/>
                <w:lang w:eastAsia="en-GB"/>
              </w:rPr>
              <w:t>1</w:t>
            </w:r>
            <w:r w:rsidR="00DD0C57">
              <w:rPr>
                <w:rFonts w:eastAsia="Times New Roman"/>
                <w:color w:val="000000"/>
                <w:sz w:val="20"/>
                <w:szCs w:val="20"/>
                <w:lang w:eastAsia="en-GB"/>
              </w:rPr>
              <w:t>74,000</w:t>
            </w:r>
          </w:p>
        </w:tc>
      </w:tr>
      <w:tr w:rsidR="00DD0C57" w14:paraId="1EC2ACF3" w14:textId="77777777" w:rsidTr="005F0E8C">
        <w:trPr>
          <w:gridAfter w:val="2"/>
          <w:wAfter w:w="141" w:type="dxa"/>
          <w:trHeight w:val="138"/>
        </w:trPr>
        <w:tc>
          <w:tcPr>
            <w:tcW w:w="4533" w:type="dxa"/>
            <w:tcBorders>
              <w:top w:val="nil"/>
              <w:left w:val="single" w:sz="12" w:space="0" w:color="969696"/>
              <w:bottom w:val="nil"/>
              <w:right w:val="nil"/>
            </w:tcBorders>
            <w:shd w:val="solid" w:color="FFFFFF" w:fill="auto"/>
            <w:hideMark/>
          </w:tcPr>
          <w:p w14:paraId="174C1ED7" w14:textId="77777777" w:rsidR="00DD0C57" w:rsidRDefault="00DD0C57" w:rsidP="009F36CB">
            <w:pPr>
              <w:autoSpaceDE w:val="0"/>
              <w:autoSpaceDN w:val="0"/>
              <w:adjustRightInd w:val="0"/>
              <w:rPr>
                <w:rFonts w:eastAsia="Times New Roman"/>
                <w:color w:val="000000"/>
                <w:sz w:val="20"/>
                <w:szCs w:val="20"/>
                <w:lang w:eastAsia="en-GB"/>
              </w:rPr>
            </w:pPr>
            <w:r>
              <w:rPr>
                <w:rFonts w:eastAsia="Times New Roman"/>
                <w:color w:val="000000"/>
                <w:sz w:val="20"/>
                <w:szCs w:val="20"/>
                <w:lang w:eastAsia="en-GB"/>
              </w:rPr>
              <w:t>Missions (staff &amp; experts)</w:t>
            </w:r>
          </w:p>
        </w:tc>
        <w:tc>
          <w:tcPr>
            <w:tcW w:w="1429" w:type="dxa"/>
            <w:tcBorders>
              <w:top w:val="single" w:sz="6" w:space="0" w:color="969696"/>
              <w:left w:val="single" w:sz="6" w:space="0" w:color="969696"/>
              <w:bottom w:val="nil"/>
              <w:right w:val="single" w:sz="4" w:space="0" w:color="auto"/>
            </w:tcBorders>
            <w:shd w:val="solid" w:color="FFFFFF" w:fill="auto"/>
            <w:hideMark/>
          </w:tcPr>
          <w:p w14:paraId="34C5AE76" w14:textId="77777777" w:rsidR="00DD0C57" w:rsidRDefault="00DD0C57" w:rsidP="009F36CB">
            <w:pPr>
              <w:autoSpaceDE w:val="0"/>
              <w:autoSpaceDN w:val="0"/>
              <w:adjustRightInd w:val="0"/>
              <w:jc w:val="right"/>
              <w:rPr>
                <w:rFonts w:eastAsia="Times New Roman"/>
                <w:color w:val="000000"/>
                <w:sz w:val="20"/>
                <w:szCs w:val="20"/>
                <w:lang w:eastAsia="en-GB"/>
              </w:rPr>
            </w:pPr>
            <w:r>
              <w:rPr>
                <w:rFonts w:eastAsia="Times New Roman"/>
                <w:color w:val="000000"/>
                <w:sz w:val="20"/>
                <w:szCs w:val="20"/>
                <w:lang w:eastAsia="en-GB"/>
              </w:rPr>
              <w:t>17,200</w:t>
            </w:r>
          </w:p>
        </w:tc>
      </w:tr>
      <w:tr w:rsidR="00DD0C57" w14:paraId="69105D9D" w14:textId="77777777" w:rsidTr="005F0E8C">
        <w:trPr>
          <w:gridAfter w:val="2"/>
          <w:wAfter w:w="141" w:type="dxa"/>
          <w:trHeight w:val="138"/>
        </w:trPr>
        <w:tc>
          <w:tcPr>
            <w:tcW w:w="4533" w:type="dxa"/>
            <w:tcBorders>
              <w:top w:val="nil"/>
              <w:left w:val="single" w:sz="12" w:space="0" w:color="969696"/>
              <w:bottom w:val="nil"/>
              <w:right w:val="nil"/>
            </w:tcBorders>
            <w:shd w:val="solid" w:color="FFFFFF" w:fill="auto"/>
            <w:hideMark/>
          </w:tcPr>
          <w:p w14:paraId="2D71B614" w14:textId="77777777" w:rsidR="00DD0C57" w:rsidRDefault="00DD0C57" w:rsidP="009F36CB">
            <w:pPr>
              <w:autoSpaceDE w:val="0"/>
              <w:autoSpaceDN w:val="0"/>
              <w:adjustRightInd w:val="0"/>
              <w:rPr>
                <w:rFonts w:eastAsia="Times New Roman"/>
                <w:color w:val="000000"/>
                <w:sz w:val="20"/>
                <w:szCs w:val="20"/>
                <w:lang w:eastAsia="en-GB"/>
              </w:rPr>
            </w:pPr>
            <w:r>
              <w:rPr>
                <w:rFonts w:eastAsia="Times New Roman"/>
                <w:color w:val="000000"/>
                <w:sz w:val="20"/>
                <w:szCs w:val="20"/>
                <w:lang w:eastAsia="en-GB"/>
              </w:rPr>
              <w:t>Event/conference and reception costs</w:t>
            </w:r>
          </w:p>
        </w:tc>
        <w:tc>
          <w:tcPr>
            <w:tcW w:w="1429" w:type="dxa"/>
            <w:tcBorders>
              <w:top w:val="single" w:sz="6" w:space="0" w:color="969696"/>
              <w:left w:val="single" w:sz="6" w:space="0" w:color="969696"/>
              <w:bottom w:val="nil"/>
              <w:right w:val="single" w:sz="4" w:space="0" w:color="auto"/>
            </w:tcBorders>
            <w:shd w:val="solid" w:color="FFFFFF" w:fill="auto"/>
            <w:hideMark/>
          </w:tcPr>
          <w:p w14:paraId="1E457118" w14:textId="77777777" w:rsidR="00DD0C57" w:rsidRDefault="00DD0C57" w:rsidP="009F36CB">
            <w:pPr>
              <w:autoSpaceDE w:val="0"/>
              <w:autoSpaceDN w:val="0"/>
              <w:adjustRightInd w:val="0"/>
              <w:jc w:val="right"/>
              <w:rPr>
                <w:rFonts w:eastAsia="Times New Roman"/>
                <w:color w:val="000000"/>
                <w:sz w:val="20"/>
                <w:szCs w:val="20"/>
                <w:lang w:eastAsia="en-GB"/>
              </w:rPr>
            </w:pPr>
            <w:r>
              <w:rPr>
                <w:rFonts w:eastAsia="Times New Roman"/>
                <w:color w:val="000000"/>
                <w:sz w:val="20"/>
                <w:szCs w:val="20"/>
                <w:lang w:eastAsia="en-GB"/>
              </w:rPr>
              <w:t>11,674</w:t>
            </w:r>
          </w:p>
        </w:tc>
      </w:tr>
      <w:tr w:rsidR="00DD0C57" w14:paraId="248CABC7" w14:textId="77777777" w:rsidTr="005F0E8C">
        <w:trPr>
          <w:gridAfter w:val="2"/>
          <w:wAfter w:w="141" w:type="dxa"/>
          <w:trHeight w:val="138"/>
        </w:trPr>
        <w:tc>
          <w:tcPr>
            <w:tcW w:w="4533" w:type="dxa"/>
            <w:tcBorders>
              <w:top w:val="nil"/>
              <w:left w:val="single" w:sz="12" w:space="0" w:color="969696"/>
              <w:bottom w:val="nil"/>
              <w:right w:val="nil"/>
            </w:tcBorders>
            <w:shd w:val="solid" w:color="FFFFFF" w:fill="auto"/>
            <w:hideMark/>
          </w:tcPr>
          <w:p w14:paraId="33E43D35" w14:textId="77777777" w:rsidR="00DD0C57" w:rsidRDefault="00DD0C57" w:rsidP="009F36CB">
            <w:pPr>
              <w:autoSpaceDE w:val="0"/>
              <w:autoSpaceDN w:val="0"/>
              <w:adjustRightInd w:val="0"/>
              <w:rPr>
                <w:rFonts w:eastAsia="Times New Roman"/>
                <w:color w:val="000000"/>
                <w:sz w:val="20"/>
                <w:szCs w:val="20"/>
                <w:lang w:eastAsia="en-GB"/>
              </w:rPr>
            </w:pPr>
            <w:r>
              <w:rPr>
                <w:rFonts w:eastAsia="Times New Roman"/>
                <w:color w:val="000000"/>
                <w:sz w:val="20"/>
                <w:szCs w:val="20"/>
                <w:lang w:eastAsia="en-GB"/>
              </w:rPr>
              <w:t>Other operating expenditure ²</w:t>
            </w:r>
          </w:p>
        </w:tc>
        <w:tc>
          <w:tcPr>
            <w:tcW w:w="1429" w:type="dxa"/>
            <w:tcBorders>
              <w:top w:val="single" w:sz="6" w:space="0" w:color="969696"/>
              <w:left w:val="single" w:sz="6" w:space="0" w:color="969696"/>
              <w:bottom w:val="single" w:sz="6" w:space="0" w:color="auto"/>
              <w:right w:val="single" w:sz="4" w:space="0" w:color="auto"/>
            </w:tcBorders>
            <w:shd w:val="solid" w:color="FFFFFF" w:fill="auto"/>
            <w:hideMark/>
          </w:tcPr>
          <w:p w14:paraId="70E1E149" w14:textId="2A241456" w:rsidR="00DD0C57" w:rsidRDefault="00DD0C57" w:rsidP="009F36CB">
            <w:pPr>
              <w:autoSpaceDE w:val="0"/>
              <w:autoSpaceDN w:val="0"/>
              <w:adjustRightInd w:val="0"/>
              <w:jc w:val="right"/>
              <w:rPr>
                <w:rFonts w:eastAsia="Times New Roman"/>
                <w:color w:val="000000"/>
                <w:sz w:val="20"/>
                <w:szCs w:val="20"/>
                <w:lang w:eastAsia="en-GB"/>
              </w:rPr>
            </w:pPr>
            <w:r>
              <w:rPr>
                <w:rFonts w:eastAsia="Times New Roman"/>
                <w:color w:val="000000"/>
                <w:sz w:val="20"/>
                <w:szCs w:val="20"/>
                <w:lang w:eastAsia="en-GB"/>
              </w:rPr>
              <w:t>7,857</w:t>
            </w:r>
          </w:p>
        </w:tc>
      </w:tr>
      <w:tr w:rsidR="00DD0C57" w14:paraId="3C2B90F2" w14:textId="77777777" w:rsidTr="005F0E8C">
        <w:trPr>
          <w:gridAfter w:val="2"/>
          <w:wAfter w:w="141" w:type="dxa"/>
          <w:trHeight w:val="163"/>
        </w:trPr>
        <w:tc>
          <w:tcPr>
            <w:tcW w:w="4533" w:type="dxa"/>
            <w:tcBorders>
              <w:top w:val="nil"/>
              <w:left w:val="single" w:sz="12" w:space="0" w:color="969696"/>
              <w:bottom w:val="nil"/>
              <w:right w:val="single" w:sz="6" w:space="0" w:color="969696"/>
            </w:tcBorders>
            <w:shd w:val="solid" w:color="FFFFFF" w:fill="auto"/>
            <w:hideMark/>
          </w:tcPr>
          <w:p w14:paraId="43A6A751" w14:textId="77777777" w:rsidR="00DD0C57" w:rsidRDefault="00DD0C57" w:rsidP="009F36CB">
            <w:pPr>
              <w:autoSpaceDE w:val="0"/>
              <w:autoSpaceDN w:val="0"/>
              <w:adjustRightInd w:val="0"/>
              <w:jc w:val="right"/>
              <w:rPr>
                <w:rFonts w:eastAsia="Times New Roman"/>
                <w:b/>
                <w:bCs/>
                <w:color w:val="000000"/>
                <w:sz w:val="20"/>
                <w:szCs w:val="20"/>
                <w:lang w:eastAsia="en-GB"/>
              </w:rPr>
            </w:pPr>
            <w:r>
              <w:rPr>
                <w:rFonts w:eastAsia="Times New Roman"/>
                <w:b/>
                <w:bCs/>
                <w:color w:val="000000"/>
                <w:sz w:val="20"/>
                <w:szCs w:val="20"/>
                <w:lang w:eastAsia="en-GB"/>
              </w:rPr>
              <w:t>Total Direct Costs</w:t>
            </w:r>
          </w:p>
        </w:tc>
        <w:tc>
          <w:tcPr>
            <w:tcW w:w="1429" w:type="dxa"/>
            <w:tcBorders>
              <w:top w:val="nil"/>
              <w:left w:val="nil"/>
              <w:bottom w:val="nil"/>
              <w:right w:val="single" w:sz="4" w:space="0" w:color="auto"/>
            </w:tcBorders>
            <w:shd w:val="solid" w:color="FFFFFF" w:fill="auto"/>
            <w:hideMark/>
          </w:tcPr>
          <w:p w14:paraId="53AA026A" w14:textId="738135BF" w:rsidR="00DD0C57" w:rsidRDefault="002134EB" w:rsidP="009F36CB">
            <w:pPr>
              <w:autoSpaceDE w:val="0"/>
              <w:autoSpaceDN w:val="0"/>
              <w:adjustRightInd w:val="0"/>
              <w:jc w:val="right"/>
              <w:rPr>
                <w:rFonts w:eastAsia="Times New Roman"/>
                <w:b/>
                <w:bCs/>
                <w:color w:val="000000"/>
                <w:sz w:val="20"/>
                <w:szCs w:val="20"/>
                <w:lang w:eastAsia="en-GB"/>
              </w:rPr>
            </w:pPr>
            <w:r>
              <w:rPr>
                <w:rFonts w:eastAsia="Times New Roman"/>
                <w:b/>
                <w:bCs/>
                <w:color w:val="000000"/>
                <w:sz w:val="20"/>
                <w:szCs w:val="20"/>
                <w:lang w:eastAsia="en-GB"/>
              </w:rPr>
              <w:t>7</w:t>
            </w:r>
            <w:r w:rsidR="00DD0C57">
              <w:rPr>
                <w:rFonts w:eastAsia="Times New Roman"/>
                <w:b/>
                <w:bCs/>
                <w:color w:val="000000"/>
                <w:sz w:val="20"/>
                <w:szCs w:val="20"/>
                <w:lang w:eastAsia="en-GB"/>
              </w:rPr>
              <w:t>69,137</w:t>
            </w:r>
          </w:p>
        </w:tc>
      </w:tr>
      <w:tr w:rsidR="00DD0C57" w14:paraId="6BCEA92F" w14:textId="77777777" w:rsidTr="005F0E8C">
        <w:trPr>
          <w:gridAfter w:val="2"/>
          <w:wAfter w:w="141" w:type="dxa"/>
          <w:trHeight w:val="163"/>
        </w:trPr>
        <w:tc>
          <w:tcPr>
            <w:tcW w:w="4533" w:type="dxa"/>
            <w:tcBorders>
              <w:top w:val="nil"/>
              <w:left w:val="single" w:sz="12" w:space="0" w:color="969696"/>
              <w:bottom w:val="nil"/>
              <w:right w:val="single" w:sz="6" w:space="0" w:color="969696"/>
            </w:tcBorders>
            <w:shd w:val="solid" w:color="FFFFFF" w:fill="auto"/>
            <w:hideMark/>
          </w:tcPr>
          <w:p w14:paraId="6E647817" w14:textId="77777777" w:rsidR="00DD0C57" w:rsidRDefault="00DD0C57" w:rsidP="009F36CB">
            <w:pPr>
              <w:autoSpaceDE w:val="0"/>
              <w:autoSpaceDN w:val="0"/>
              <w:adjustRightInd w:val="0"/>
              <w:rPr>
                <w:rFonts w:eastAsia="Times New Roman"/>
                <w:color w:val="000000"/>
                <w:sz w:val="20"/>
                <w:szCs w:val="20"/>
                <w:lang w:eastAsia="en-GB"/>
              </w:rPr>
            </w:pPr>
            <w:r>
              <w:rPr>
                <w:rFonts w:eastAsia="Times New Roman"/>
                <w:color w:val="000000"/>
                <w:sz w:val="20"/>
                <w:szCs w:val="20"/>
                <w:lang w:eastAsia="en-GB"/>
              </w:rPr>
              <w:t>Grant administration charge (6.48%) ³</w:t>
            </w:r>
          </w:p>
        </w:tc>
        <w:tc>
          <w:tcPr>
            <w:tcW w:w="1429" w:type="dxa"/>
            <w:tcBorders>
              <w:top w:val="nil"/>
              <w:left w:val="nil"/>
              <w:bottom w:val="nil"/>
              <w:right w:val="single" w:sz="6" w:space="0" w:color="969696"/>
            </w:tcBorders>
            <w:shd w:val="solid" w:color="FFFFFF" w:fill="auto"/>
            <w:hideMark/>
          </w:tcPr>
          <w:p w14:paraId="3D18645A" w14:textId="6328497F" w:rsidR="00DD0C57" w:rsidRDefault="002134EB" w:rsidP="009F36CB">
            <w:pPr>
              <w:autoSpaceDE w:val="0"/>
              <w:autoSpaceDN w:val="0"/>
              <w:adjustRightInd w:val="0"/>
              <w:jc w:val="right"/>
              <w:rPr>
                <w:rFonts w:eastAsia="Times New Roman"/>
                <w:b/>
                <w:bCs/>
                <w:color w:val="000000"/>
                <w:sz w:val="20"/>
                <w:szCs w:val="20"/>
                <w:lang w:eastAsia="en-GB"/>
              </w:rPr>
            </w:pPr>
            <w:r w:rsidRPr="002134EB">
              <w:rPr>
                <w:rFonts w:eastAsia="Times New Roman"/>
                <w:b/>
                <w:bCs/>
                <w:color w:val="000000"/>
                <w:sz w:val="20"/>
                <w:szCs w:val="20"/>
                <w:lang w:eastAsia="en-GB"/>
              </w:rPr>
              <w:t>49</w:t>
            </w:r>
            <w:r>
              <w:rPr>
                <w:rFonts w:eastAsia="Times New Roman"/>
                <w:b/>
                <w:bCs/>
                <w:color w:val="000000"/>
                <w:sz w:val="20"/>
                <w:szCs w:val="20"/>
                <w:lang w:eastAsia="en-GB"/>
              </w:rPr>
              <w:t>,</w:t>
            </w:r>
            <w:r w:rsidRPr="002134EB">
              <w:rPr>
                <w:rFonts w:eastAsia="Times New Roman"/>
                <w:b/>
                <w:bCs/>
                <w:color w:val="000000"/>
                <w:sz w:val="20"/>
                <w:szCs w:val="20"/>
                <w:lang w:eastAsia="en-GB"/>
              </w:rPr>
              <w:t>840</w:t>
            </w:r>
          </w:p>
        </w:tc>
      </w:tr>
      <w:tr w:rsidR="00DD0C57" w14:paraId="7A202768" w14:textId="77777777" w:rsidTr="005F0E8C">
        <w:trPr>
          <w:gridAfter w:val="2"/>
          <w:wAfter w:w="141" w:type="dxa"/>
          <w:trHeight w:val="228"/>
        </w:trPr>
        <w:tc>
          <w:tcPr>
            <w:tcW w:w="4533" w:type="dxa"/>
            <w:tcBorders>
              <w:top w:val="single" w:sz="6" w:space="0" w:color="969696"/>
              <w:left w:val="single" w:sz="12" w:space="0" w:color="969696"/>
              <w:bottom w:val="single" w:sz="12" w:space="0" w:color="969696"/>
              <w:right w:val="nil"/>
            </w:tcBorders>
            <w:shd w:val="clear" w:color="auto" w:fill="D9D9D9" w:themeFill="background1" w:themeFillShade="D9"/>
            <w:hideMark/>
          </w:tcPr>
          <w:p w14:paraId="723D5DC4" w14:textId="77777777" w:rsidR="00DD0C57" w:rsidRDefault="00DD0C57" w:rsidP="009F36CB">
            <w:pPr>
              <w:autoSpaceDE w:val="0"/>
              <w:autoSpaceDN w:val="0"/>
              <w:adjustRightInd w:val="0"/>
              <w:rPr>
                <w:rFonts w:eastAsia="Times New Roman"/>
                <w:b/>
                <w:bCs/>
                <w:color w:val="000000"/>
                <w:sz w:val="20"/>
                <w:szCs w:val="20"/>
                <w:lang w:eastAsia="en-GB"/>
              </w:rPr>
            </w:pPr>
            <w:r>
              <w:rPr>
                <w:rFonts w:eastAsia="Times New Roman"/>
                <w:b/>
                <w:bCs/>
                <w:color w:val="000000"/>
                <w:sz w:val="20"/>
                <w:szCs w:val="20"/>
                <w:lang w:eastAsia="en-GB"/>
              </w:rPr>
              <w:t>TOTAL</w:t>
            </w:r>
          </w:p>
        </w:tc>
        <w:tc>
          <w:tcPr>
            <w:tcW w:w="1429" w:type="dxa"/>
            <w:tcBorders>
              <w:top w:val="single" w:sz="6" w:space="0" w:color="969696"/>
              <w:left w:val="nil"/>
              <w:bottom w:val="single" w:sz="12" w:space="0" w:color="969696"/>
              <w:right w:val="single" w:sz="12" w:space="0" w:color="969696"/>
            </w:tcBorders>
            <w:shd w:val="clear" w:color="auto" w:fill="D9D9D9" w:themeFill="background1" w:themeFillShade="D9"/>
            <w:hideMark/>
          </w:tcPr>
          <w:p w14:paraId="40FE62C6" w14:textId="74FF651A" w:rsidR="00DD0C57" w:rsidRDefault="002134EB" w:rsidP="009F36CB">
            <w:pPr>
              <w:autoSpaceDE w:val="0"/>
              <w:autoSpaceDN w:val="0"/>
              <w:adjustRightInd w:val="0"/>
              <w:jc w:val="right"/>
              <w:rPr>
                <w:rFonts w:eastAsia="Times New Roman"/>
                <w:b/>
                <w:bCs/>
                <w:color w:val="000000"/>
                <w:sz w:val="20"/>
                <w:szCs w:val="20"/>
                <w:lang w:eastAsia="en-GB"/>
              </w:rPr>
            </w:pPr>
            <w:r w:rsidRPr="002134EB">
              <w:rPr>
                <w:rFonts w:eastAsia="Times New Roman"/>
                <w:b/>
                <w:bCs/>
                <w:color w:val="000000"/>
                <w:sz w:val="20"/>
                <w:szCs w:val="20"/>
                <w:lang w:eastAsia="en-GB"/>
              </w:rPr>
              <w:t>818</w:t>
            </w:r>
            <w:r>
              <w:rPr>
                <w:rFonts w:eastAsia="Times New Roman"/>
                <w:b/>
                <w:bCs/>
                <w:color w:val="000000"/>
                <w:sz w:val="20"/>
                <w:szCs w:val="20"/>
                <w:lang w:eastAsia="en-GB"/>
              </w:rPr>
              <w:t xml:space="preserve"> </w:t>
            </w:r>
            <w:r w:rsidRPr="002134EB">
              <w:rPr>
                <w:rFonts w:eastAsia="Times New Roman"/>
                <w:b/>
                <w:bCs/>
                <w:color w:val="000000"/>
                <w:sz w:val="20"/>
                <w:szCs w:val="20"/>
                <w:lang w:eastAsia="en-GB"/>
              </w:rPr>
              <w:t>977</w:t>
            </w:r>
          </w:p>
        </w:tc>
      </w:tr>
      <w:tr w:rsidR="00DD0C57" w14:paraId="7A187294" w14:textId="77777777" w:rsidTr="005F0E8C">
        <w:trPr>
          <w:gridAfter w:val="2"/>
          <w:wAfter w:w="141" w:type="dxa"/>
          <w:trHeight w:val="172"/>
        </w:trPr>
        <w:tc>
          <w:tcPr>
            <w:tcW w:w="5962" w:type="dxa"/>
            <w:gridSpan w:val="2"/>
            <w:tcBorders>
              <w:top w:val="single" w:sz="12" w:space="0" w:color="969696"/>
              <w:left w:val="nil"/>
              <w:bottom w:val="nil"/>
            </w:tcBorders>
            <w:shd w:val="solid" w:color="FFFFFF" w:fill="auto"/>
          </w:tcPr>
          <w:p w14:paraId="388C5151" w14:textId="4E22731D" w:rsidR="00DD0C57" w:rsidRPr="005C7438" w:rsidRDefault="00DD0C57" w:rsidP="00DD0C57">
            <w:pPr>
              <w:autoSpaceDE w:val="0"/>
              <w:autoSpaceDN w:val="0"/>
              <w:adjustRightInd w:val="0"/>
              <w:rPr>
                <w:rFonts w:eastAsia="Times New Roman"/>
                <w:color w:val="000000"/>
                <w:sz w:val="12"/>
                <w:szCs w:val="12"/>
                <w:lang w:eastAsia="en-GB"/>
              </w:rPr>
            </w:pPr>
            <w:r w:rsidRPr="005C7438">
              <w:rPr>
                <w:rFonts w:eastAsia="Times New Roman"/>
                <w:color w:val="000000"/>
                <w:sz w:val="12"/>
                <w:szCs w:val="12"/>
                <w:lang w:eastAsia="en-GB"/>
              </w:rPr>
              <w:t xml:space="preserve">¹  Annual per person chargeback for the recovery of direct costs related to Part I VC financed staff </w:t>
            </w:r>
          </w:p>
        </w:tc>
      </w:tr>
      <w:tr w:rsidR="00DD0C57" w14:paraId="2F34883F" w14:textId="77777777" w:rsidTr="005F0E8C">
        <w:trPr>
          <w:gridAfter w:val="1"/>
          <w:wAfter w:w="87" w:type="dxa"/>
          <w:trHeight w:val="80"/>
        </w:trPr>
        <w:tc>
          <w:tcPr>
            <w:tcW w:w="6016" w:type="dxa"/>
            <w:gridSpan w:val="3"/>
            <w:shd w:val="solid" w:color="FFFFFF" w:fill="auto"/>
          </w:tcPr>
          <w:p w14:paraId="3883B145" w14:textId="7959FCF2" w:rsidR="00DD0C57" w:rsidRPr="005C7438" w:rsidRDefault="00DD0C57" w:rsidP="00DD0C57">
            <w:pPr>
              <w:autoSpaceDE w:val="0"/>
              <w:autoSpaceDN w:val="0"/>
              <w:adjustRightInd w:val="0"/>
              <w:rPr>
                <w:rFonts w:eastAsia="Times New Roman"/>
                <w:color w:val="000000"/>
                <w:sz w:val="12"/>
                <w:szCs w:val="12"/>
                <w:lang w:eastAsia="en-GB"/>
              </w:rPr>
            </w:pPr>
            <w:r w:rsidRPr="005C7438">
              <w:rPr>
                <w:rFonts w:eastAsia="Times New Roman"/>
                <w:color w:val="000000"/>
                <w:sz w:val="12"/>
                <w:szCs w:val="12"/>
                <w:lang w:eastAsia="en-GB"/>
              </w:rPr>
              <w:t>² Printing publications/PR material, translation, ICT, mobility workspace charge, etc.</w:t>
            </w:r>
          </w:p>
        </w:tc>
      </w:tr>
      <w:tr w:rsidR="00DD0C57" w14:paraId="45B5F5B9" w14:textId="70A0A461" w:rsidTr="005F0E8C">
        <w:trPr>
          <w:trHeight w:val="272"/>
        </w:trPr>
        <w:tc>
          <w:tcPr>
            <w:tcW w:w="6016" w:type="dxa"/>
            <w:gridSpan w:val="3"/>
            <w:shd w:val="solid" w:color="FFFFFF" w:fill="auto"/>
          </w:tcPr>
          <w:p w14:paraId="031E8A8D" w14:textId="6D924AD4" w:rsidR="00DD0C57" w:rsidRPr="005C7438" w:rsidRDefault="00DD0C57" w:rsidP="00DD0C57">
            <w:pPr>
              <w:autoSpaceDE w:val="0"/>
              <w:autoSpaceDN w:val="0"/>
              <w:adjustRightInd w:val="0"/>
              <w:rPr>
                <w:rFonts w:eastAsia="Times New Roman"/>
                <w:color w:val="000000"/>
                <w:sz w:val="12"/>
                <w:szCs w:val="12"/>
                <w:lang w:eastAsia="en-GB"/>
              </w:rPr>
            </w:pPr>
            <w:r w:rsidRPr="005C7438">
              <w:rPr>
                <w:rFonts w:eastAsia="Times New Roman"/>
                <w:color w:val="000000"/>
                <w:sz w:val="12"/>
                <w:szCs w:val="12"/>
                <w:lang w:eastAsia="en-GB"/>
              </w:rPr>
              <w:t>³ OECD policy applicable to all voluntary contributions - C(2021)73.</w:t>
            </w:r>
          </w:p>
        </w:tc>
        <w:tc>
          <w:tcPr>
            <w:tcW w:w="87" w:type="dxa"/>
          </w:tcPr>
          <w:p w14:paraId="5DCF1CD7" w14:textId="77777777" w:rsidR="00DD0C57" w:rsidRDefault="00DD0C57" w:rsidP="00DD0C57"/>
        </w:tc>
      </w:tr>
    </w:tbl>
    <w:p w14:paraId="4B9DC930" w14:textId="77777777" w:rsidR="00A14626" w:rsidRPr="00A14626" w:rsidRDefault="00A7223D" w:rsidP="0049402F">
      <w:pPr>
        <w:pStyle w:val="ListParagraph"/>
        <w:numPr>
          <w:ilvl w:val="0"/>
          <w:numId w:val="27"/>
        </w:numPr>
        <w:spacing w:after="120" w:line="240" w:lineRule="auto"/>
        <w:contextualSpacing w:val="0"/>
        <w:jc w:val="both"/>
        <w:rPr>
          <w:rFonts w:asciiTheme="majorHAnsi" w:hAnsiTheme="majorHAnsi" w:cstheme="majorHAnsi"/>
          <w:sz w:val="22"/>
          <w:szCs w:val="22"/>
          <w:lang w:val="en-GB"/>
        </w:rPr>
      </w:pPr>
      <w:r>
        <w:rPr>
          <w:rFonts w:ascii="Calibri" w:hAnsi="Calibri" w:cs="Calibri"/>
          <w:b/>
          <w:bCs/>
          <w:color w:val="009999"/>
          <w:sz w:val="22"/>
          <w:szCs w:val="28"/>
          <w:lang w:val="en-GB"/>
        </w:rPr>
        <w:t>OECD</w:t>
      </w:r>
      <w:r w:rsidR="00A003CF" w:rsidRPr="00A7223D">
        <w:rPr>
          <w:rFonts w:ascii="Calibri" w:hAnsi="Calibri" w:cs="Calibri"/>
          <w:b/>
          <w:bCs/>
          <w:color w:val="009999"/>
          <w:sz w:val="22"/>
          <w:szCs w:val="28"/>
          <w:lang w:val="en-GB"/>
        </w:rPr>
        <w:t xml:space="preserve"> resources for this evaluation and contributions from others. </w:t>
      </w:r>
    </w:p>
    <w:p w14:paraId="2B6AC3D8" w14:textId="575D717C" w:rsidR="00642A37" w:rsidRDefault="00642A37" w:rsidP="00642A37">
      <w:pPr>
        <w:pStyle w:val="ListParagraph"/>
        <w:spacing w:after="120" w:line="240"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The evaluation is being conducted by the staff of the DCD Reviews, Results, Evaluation and Development Innovation Division, with a Team Lead (Senior Analyst), and two full time analysts, as well as additional support from consultants, statisticians, management, and administrative support. </w:t>
      </w:r>
    </w:p>
    <w:p w14:paraId="68D774B8" w14:textId="2FF9231C" w:rsidR="00B46EA1" w:rsidRPr="002957B0" w:rsidRDefault="00A003CF" w:rsidP="002957B0">
      <w:pPr>
        <w:pStyle w:val="ListParagraph"/>
        <w:spacing w:after="120" w:line="240" w:lineRule="auto"/>
        <w:contextualSpacing w:val="0"/>
        <w:jc w:val="both"/>
        <w:rPr>
          <w:rFonts w:asciiTheme="majorHAnsi" w:hAnsiTheme="majorHAnsi" w:cstheme="majorHAnsi"/>
          <w:sz w:val="22"/>
          <w:szCs w:val="22"/>
          <w:lang w:val="en-GB"/>
        </w:rPr>
      </w:pPr>
      <w:r w:rsidRPr="00A7223D">
        <w:rPr>
          <w:rFonts w:asciiTheme="majorHAnsi" w:hAnsiTheme="majorHAnsi" w:cstheme="majorHAnsi"/>
          <w:sz w:val="22"/>
          <w:szCs w:val="22"/>
          <w:lang w:val="en-GB"/>
        </w:rPr>
        <w:t xml:space="preserve">The </w:t>
      </w:r>
      <w:hyperlink r:id="rId11" w:history="1">
        <w:r w:rsidR="00B46EA1" w:rsidRPr="00A7223D">
          <w:rPr>
            <w:rStyle w:val="Hyperlink"/>
            <w:rFonts w:asciiTheme="majorHAnsi" w:hAnsiTheme="majorHAnsi" w:cstheme="majorHAnsi"/>
            <w:sz w:val="22"/>
            <w:szCs w:val="22"/>
            <w:lang w:val="en-GB"/>
          </w:rPr>
          <w:t xml:space="preserve">OECD </w:t>
        </w:r>
        <w:r w:rsidRPr="00A7223D">
          <w:rPr>
            <w:rStyle w:val="Hyperlink"/>
            <w:rFonts w:asciiTheme="majorHAnsi" w:hAnsiTheme="majorHAnsi" w:cstheme="majorHAnsi"/>
            <w:sz w:val="22"/>
            <w:szCs w:val="22"/>
            <w:lang w:val="en-GB"/>
          </w:rPr>
          <w:t>Programme of Work and Budget</w:t>
        </w:r>
        <w:r w:rsidR="00AF6B75" w:rsidRPr="00A7223D">
          <w:rPr>
            <w:rStyle w:val="Hyperlink"/>
            <w:rFonts w:asciiTheme="majorHAnsi" w:hAnsiTheme="majorHAnsi" w:cstheme="majorHAnsi"/>
            <w:sz w:val="22"/>
            <w:szCs w:val="22"/>
            <w:lang w:val="en-GB"/>
          </w:rPr>
          <w:t xml:space="preserve"> (PWB)</w:t>
        </w:r>
        <w:r w:rsidRPr="00A7223D">
          <w:rPr>
            <w:rStyle w:val="Hyperlink"/>
            <w:rFonts w:asciiTheme="majorHAnsi" w:hAnsiTheme="majorHAnsi" w:cstheme="majorHAnsi"/>
            <w:sz w:val="22"/>
            <w:szCs w:val="22"/>
            <w:lang w:val="en-GB"/>
          </w:rPr>
          <w:t xml:space="preserve"> 2023-24</w:t>
        </w:r>
      </w:hyperlink>
      <w:r w:rsidRPr="00A7223D">
        <w:rPr>
          <w:rFonts w:asciiTheme="majorHAnsi" w:hAnsiTheme="majorHAnsi" w:cstheme="majorHAnsi"/>
          <w:sz w:val="22"/>
          <w:szCs w:val="22"/>
          <w:lang w:val="en-GB"/>
        </w:rPr>
        <w:t xml:space="preserve"> </w:t>
      </w:r>
      <w:r w:rsidR="00B46EA1" w:rsidRPr="00A7223D">
        <w:rPr>
          <w:rFonts w:asciiTheme="majorHAnsi" w:hAnsiTheme="majorHAnsi" w:cstheme="majorHAnsi"/>
          <w:sz w:val="22"/>
          <w:szCs w:val="22"/>
          <w:lang w:val="en-GB"/>
        </w:rPr>
        <w:t xml:space="preserve">for Evaluation (Intermediate Output 2.2) </w:t>
      </w:r>
      <w:r w:rsidRPr="00A7223D">
        <w:rPr>
          <w:rFonts w:asciiTheme="majorHAnsi" w:hAnsiTheme="majorHAnsi" w:cstheme="majorHAnsi"/>
          <w:sz w:val="22"/>
          <w:szCs w:val="22"/>
          <w:lang w:val="en-GB"/>
        </w:rPr>
        <w:t xml:space="preserve">requires </w:t>
      </w:r>
      <w:r w:rsidR="002134EB">
        <w:rPr>
          <w:rFonts w:asciiTheme="majorHAnsi" w:hAnsiTheme="majorHAnsi" w:cstheme="majorHAnsi"/>
          <w:sz w:val="22"/>
          <w:szCs w:val="22"/>
          <w:lang w:val="en-GB"/>
        </w:rPr>
        <w:t xml:space="preserve">approximately </w:t>
      </w:r>
      <w:r w:rsidRPr="00A7223D">
        <w:rPr>
          <w:rFonts w:asciiTheme="majorHAnsi" w:hAnsiTheme="majorHAnsi" w:cstheme="majorHAnsi"/>
          <w:sz w:val="22"/>
          <w:szCs w:val="22"/>
          <w:lang w:val="en-GB"/>
        </w:rPr>
        <w:t>EUR 1.</w:t>
      </w:r>
      <w:r w:rsidR="002134EB">
        <w:rPr>
          <w:rFonts w:asciiTheme="majorHAnsi" w:hAnsiTheme="majorHAnsi" w:cstheme="majorHAnsi"/>
          <w:sz w:val="22"/>
          <w:szCs w:val="22"/>
          <w:lang w:val="en-GB"/>
        </w:rPr>
        <w:t>9</w:t>
      </w:r>
      <w:r w:rsidRPr="00A7223D">
        <w:rPr>
          <w:rFonts w:asciiTheme="majorHAnsi" w:hAnsiTheme="majorHAnsi" w:cstheme="majorHAnsi"/>
          <w:sz w:val="22"/>
          <w:szCs w:val="22"/>
          <w:lang w:val="en-GB"/>
        </w:rPr>
        <w:t xml:space="preserve"> million</w:t>
      </w:r>
      <w:r w:rsidR="002134EB">
        <w:rPr>
          <w:rFonts w:asciiTheme="majorHAnsi" w:hAnsiTheme="majorHAnsi" w:cstheme="majorHAnsi"/>
          <w:sz w:val="22"/>
          <w:szCs w:val="22"/>
          <w:lang w:val="en-GB"/>
        </w:rPr>
        <w:t xml:space="preserve"> (including both core EvalNet work and the additional resources required to deliver</w:t>
      </w:r>
      <w:r w:rsidRPr="00A7223D">
        <w:rPr>
          <w:rFonts w:asciiTheme="majorHAnsi" w:hAnsiTheme="majorHAnsi" w:cstheme="majorHAnsi"/>
          <w:sz w:val="22"/>
          <w:szCs w:val="22"/>
          <w:lang w:val="en-GB"/>
        </w:rPr>
        <w:t xml:space="preserve"> on the ambition of the C</w:t>
      </w:r>
      <w:r w:rsidR="00B46EA1" w:rsidRPr="00A7223D">
        <w:rPr>
          <w:rFonts w:asciiTheme="majorHAnsi" w:hAnsiTheme="majorHAnsi" w:cstheme="majorHAnsi"/>
          <w:sz w:val="22"/>
          <w:szCs w:val="22"/>
          <w:lang w:val="en-GB"/>
        </w:rPr>
        <w:t>OVID-19 Global Evaluation C</w:t>
      </w:r>
      <w:r w:rsidRPr="00A7223D">
        <w:rPr>
          <w:rFonts w:asciiTheme="majorHAnsi" w:hAnsiTheme="majorHAnsi" w:cstheme="majorHAnsi"/>
          <w:sz w:val="22"/>
          <w:szCs w:val="22"/>
          <w:lang w:val="en-GB"/>
        </w:rPr>
        <w:t>oalition</w:t>
      </w:r>
      <w:r w:rsidR="002134EB">
        <w:rPr>
          <w:rFonts w:asciiTheme="majorHAnsi" w:hAnsiTheme="majorHAnsi" w:cstheme="majorHAnsi"/>
          <w:sz w:val="22"/>
          <w:szCs w:val="22"/>
          <w:lang w:val="en-GB"/>
        </w:rPr>
        <w:t>)</w:t>
      </w:r>
      <w:r w:rsidRPr="00A7223D">
        <w:rPr>
          <w:rFonts w:asciiTheme="majorHAnsi" w:hAnsiTheme="majorHAnsi" w:cstheme="majorHAnsi"/>
          <w:sz w:val="22"/>
          <w:szCs w:val="22"/>
          <w:lang w:val="en-GB"/>
        </w:rPr>
        <w:t xml:space="preserve">. </w:t>
      </w:r>
      <w:r w:rsidR="00684FD9" w:rsidRPr="00A7223D">
        <w:rPr>
          <w:rFonts w:asciiTheme="majorHAnsi" w:hAnsiTheme="majorHAnsi" w:cstheme="majorHAnsi"/>
          <w:sz w:val="22"/>
          <w:szCs w:val="22"/>
          <w:lang w:val="en-GB"/>
        </w:rPr>
        <w:t xml:space="preserve"> Canada, Denmark, </w:t>
      </w:r>
      <w:r w:rsidR="00B46EA1" w:rsidRPr="00A7223D">
        <w:rPr>
          <w:rFonts w:asciiTheme="majorHAnsi" w:hAnsiTheme="majorHAnsi" w:cstheme="majorHAnsi"/>
          <w:sz w:val="22"/>
          <w:szCs w:val="22"/>
          <w:lang w:val="en-GB"/>
        </w:rPr>
        <w:t xml:space="preserve">Germany, </w:t>
      </w:r>
      <w:r w:rsidR="00684FD9" w:rsidRPr="00A7223D">
        <w:rPr>
          <w:rFonts w:asciiTheme="majorHAnsi" w:hAnsiTheme="majorHAnsi" w:cstheme="majorHAnsi"/>
          <w:sz w:val="22"/>
          <w:szCs w:val="22"/>
          <w:lang w:val="en-GB"/>
        </w:rPr>
        <w:t>Ireland,</w:t>
      </w:r>
      <w:r w:rsidR="00B46EA1" w:rsidRPr="00A7223D">
        <w:rPr>
          <w:rFonts w:asciiTheme="majorHAnsi" w:hAnsiTheme="majorHAnsi" w:cstheme="majorHAnsi"/>
          <w:sz w:val="22"/>
          <w:szCs w:val="22"/>
          <w:lang w:val="en-GB"/>
        </w:rPr>
        <w:t xml:space="preserve"> </w:t>
      </w:r>
      <w:r w:rsidR="002A122C" w:rsidRPr="00A7223D">
        <w:rPr>
          <w:rFonts w:asciiTheme="majorHAnsi" w:hAnsiTheme="majorHAnsi" w:cstheme="majorHAnsi"/>
          <w:sz w:val="22"/>
          <w:szCs w:val="22"/>
          <w:lang w:val="en-GB"/>
        </w:rPr>
        <w:t>Luxembourg,</w:t>
      </w:r>
      <w:r w:rsidR="00B46EA1" w:rsidRPr="00A7223D">
        <w:rPr>
          <w:rFonts w:asciiTheme="majorHAnsi" w:hAnsiTheme="majorHAnsi" w:cstheme="majorHAnsi"/>
          <w:sz w:val="22"/>
          <w:szCs w:val="22"/>
          <w:lang w:val="en-GB"/>
        </w:rPr>
        <w:t xml:space="preserve"> Switzerland</w:t>
      </w:r>
      <w:r w:rsidR="002134EB">
        <w:rPr>
          <w:rFonts w:asciiTheme="majorHAnsi" w:hAnsiTheme="majorHAnsi" w:cstheme="majorHAnsi"/>
          <w:sz w:val="22"/>
          <w:szCs w:val="22"/>
          <w:lang w:val="en-GB"/>
        </w:rPr>
        <w:t xml:space="preserve">, UNICEF and the African Development Bank evaluation departments are providing </w:t>
      </w:r>
      <w:r w:rsidR="00642A37">
        <w:rPr>
          <w:rFonts w:asciiTheme="majorHAnsi" w:hAnsiTheme="majorHAnsi" w:cstheme="majorHAnsi"/>
          <w:sz w:val="22"/>
          <w:szCs w:val="22"/>
          <w:lang w:val="en-GB"/>
        </w:rPr>
        <w:t xml:space="preserve">voluntary contributions </w:t>
      </w:r>
      <w:r w:rsidR="002134EB">
        <w:rPr>
          <w:rFonts w:asciiTheme="majorHAnsi" w:hAnsiTheme="majorHAnsi" w:cstheme="majorHAnsi"/>
          <w:sz w:val="22"/>
          <w:szCs w:val="22"/>
          <w:lang w:val="en-GB"/>
        </w:rPr>
        <w:t>or in-kind support to the evaluation</w:t>
      </w:r>
      <w:r w:rsidR="002A122C" w:rsidRPr="00A7223D">
        <w:rPr>
          <w:rFonts w:asciiTheme="majorHAnsi" w:hAnsiTheme="majorHAnsi" w:cstheme="majorHAnsi"/>
          <w:sz w:val="22"/>
          <w:szCs w:val="22"/>
          <w:lang w:val="en-GB"/>
        </w:rPr>
        <w:t xml:space="preserve">; leaving a funding gap of </w:t>
      </w:r>
      <w:r w:rsidR="002134EB" w:rsidRPr="00642A37">
        <w:rPr>
          <w:rFonts w:asciiTheme="majorHAnsi" w:hAnsiTheme="majorHAnsi" w:cstheme="majorHAnsi"/>
          <w:sz w:val="22"/>
          <w:szCs w:val="22"/>
          <w:lang w:val="en-GB"/>
        </w:rPr>
        <w:t xml:space="preserve">approximately </w:t>
      </w:r>
      <w:r w:rsidR="00642A37" w:rsidRPr="00642A37">
        <w:rPr>
          <w:rFonts w:asciiTheme="majorHAnsi" w:hAnsiTheme="majorHAnsi" w:cstheme="majorHAnsi"/>
          <w:sz w:val="22"/>
          <w:szCs w:val="22"/>
          <w:lang w:val="en-GB"/>
        </w:rPr>
        <w:t>EUR 3</w:t>
      </w:r>
      <w:r w:rsidR="002957B0" w:rsidRPr="00642A37">
        <w:rPr>
          <w:rFonts w:asciiTheme="majorHAnsi" w:hAnsiTheme="majorHAnsi" w:cstheme="majorHAnsi"/>
          <w:sz w:val="22"/>
          <w:szCs w:val="22"/>
          <w:lang w:val="en-GB"/>
        </w:rPr>
        <w:t>5</w:t>
      </w:r>
      <w:r w:rsidR="002A122C" w:rsidRPr="00642A37">
        <w:rPr>
          <w:rFonts w:asciiTheme="majorHAnsi" w:hAnsiTheme="majorHAnsi" w:cstheme="majorHAnsi"/>
          <w:sz w:val="22"/>
          <w:szCs w:val="22"/>
          <w:lang w:val="en-GB"/>
        </w:rPr>
        <w:t xml:space="preserve">0 </w:t>
      </w:r>
      <w:r w:rsidR="00642A37" w:rsidRPr="00642A37">
        <w:rPr>
          <w:rFonts w:asciiTheme="majorHAnsi" w:hAnsiTheme="majorHAnsi" w:cstheme="majorHAnsi"/>
          <w:sz w:val="22"/>
          <w:szCs w:val="22"/>
          <w:lang w:val="en-GB"/>
        </w:rPr>
        <w:t>000</w:t>
      </w:r>
      <w:r w:rsidR="002A122C" w:rsidRPr="00642A37">
        <w:rPr>
          <w:rFonts w:asciiTheme="majorHAnsi" w:hAnsiTheme="majorHAnsi" w:cstheme="majorHAnsi"/>
          <w:sz w:val="22"/>
          <w:szCs w:val="22"/>
          <w:lang w:val="en-GB"/>
        </w:rPr>
        <w:t>.</w:t>
      </w:r>
      <w:r w:rsidR="002A122C" w:rsidRPr="00A7223D">
        <w:rPr>
          <w:rFonts w:asciiTheme="majorHAnsi" w:hAnsiTheme="majorHAnsi" w:cstheme="majorHAnsi"/>
          <w:sz w:val="22"/>
          <w:szCs w:val="22"/>
          <w:lang w:val="en-GB"/>
        </w:rPr>
        <w:t xml:space="preserve"> </w:t>
      </w:r>
      <w:r w:rsidR="005C7438">
        <w:rPr>
          <w:rFonts w:asciiTheme="majorHAnsi" w:hAnsiTheme="majorHAnsi" w:cstheme="majorHAnsi"/>
          <w:sz w:val="22"/>
          <w:szCs w:val="22"/>
          <w:lang w:val="en-GB"/>
        </w:rPr>
        <w:t>Details</w:t>
      </w:r>
      <w:r w:rsidR="00D80632" w:rsidRPr="002957B0">
        <w:rPr>
          <w:rFonts w:asciiTheme="majorHAnsi" w:hAnsiTheme="majorHAnsi" w:cstheme="majorHAnsi"/>
          <w:sz w:val="22"/>
          <w:szCs w:val="22"/>
          <w:lang w:val="en-GB"/>
        </w:rPr>
        <w:t xml:space="preserve"> on </w:t>
      </w:r>
      <w:r w:rsidR="00AF6B75" w:rsidRPr="002957B0">
        <w:rPr>
          <w:rFonts w:asciiTheme="majorHAnsi" w:hAnsiTheme="majorHAnsi" w:cstheme="majorHAnsi"/>
          <w:sz w:val="22"/>
          <w:szCs w:val="22"/>
          <w:lang w:val="en-GB"/>
        </w:rPr>
        <w:t>the</w:t>
      </w:r>
      <w:r w:rsidR="00D80632" w:rsidRPr="002957B0">
        <w:rPr>
          <w:rFonts w:asciiTheme="majorHAnsi" w:hAnsiTheme="majorHAnsi" w:cstheme="majorHAnsi"/>
          <w:sz w:val="22"/>
          <w:szCs w:val="22"/>
          <w:lang w:val="en-GB"/>
        </w:rPr>
        <w:t xml:space="preserve"> DAC PWB</w:t>
      </w:r>
      <w:r w:rsidR="002957B0" w:rsidRPr="002957B0">
        <w:rPr>
          <w:rFonts w:asciiTheme="majorHAnsi" w:hAnsiTheme="majorHAnsi" w:cstheme="majorHAnsi"/>
          <w:sz w:val="22"/>
          <w:szCs w:val="22"/>
          <w:lang w:val="en-GB"/>
        </w:rPr>
        <w:t xml:space="preserve"> funding status</w:t>
      </w:r>
      <w:r w:rsidR="00D80632" w:rsidRPr="002957B0">
        <w:rPr>
          <w:rFonts w:asciiTheme="majorHAnsi" w:hAnsiTheme="majorHAnsi" w:cstheme="majorHAnsi"/>
          <w:sz w:val="22"/>
          <w:szCs w:val="22"/>
          <w:lang w:val="en-GB"/>
        </w:rPr>
        <w:t xml:space="preserve"> are on the </w:t>
      </w:r>
      <w:hyperlink r:id="rId12" w:history="1">
        <w:r w:rsidR="00541C63" w:rsidRPr="002957B0">
          <w:rPr>
            <w:rStyle w:val="Hyperlink"/>
            <w:rFonts w:asciiTheme="majorHAnsi" w:hAnsiTheme="majorHAnsi" w:cstheme="majorHAnsi"/>
            <w:sz w:val="22"/>
            <w:szCs w:val="22"/>
            <w:lang w:val="en-GB"/>
          </w:rPr>
          <w:t>Community Site</w:t>
        </w:r>
      </w:hyperlink>
      <w:r w:rsidR="00541C63" w:rsidRPr="002957B0">
        <w:rPr>
          <w:rFonts w:asciiTheme="majorHAnsi" w:hAnsiTheme="majorHAnsi" w:cstheme="majorHAnsi"/>
          <w:sz w:val="22"/>
          <w:szCs w:val="22"/>
          <w:lang w:val="en-GB"/>
        </w:rPr>
        <w:t xml:space="preserve">. </w:t>
      </w:r>
    </w:p>
    <w:p w14:paraId="76A8C858" w14:textId="77777777" w:rsidR="00A14626" w:rsidRPr="00A14626" w:rsidRDefault="00A003CF" w:rsidP="00541C63">
      <w:pPr>
        <w:pStyle w:val="ListParagraph"/>
        <w:numPr>
          <w:ilvl w:val="0"/>
          <w:numId w:val="27"/>
        </w:numPr>
        <w:spacing w:after="120" w:line="240" w:lineRule="auto"/>
        <w:contextualSpacing w:val="0"/>
        <w:jc w:val="both"/>
        <w:rPr>
          <w:rFonts w:asciiTheme="majorHAnsi" w:hAnsiTheme="majorHAnsi" w:cstheme="majorHAnsi"/>
          <w:b/>
          <w:bCs/>
          <w:sz w:val="22"/>
          <w:szCs w:val="22"/>
          <w:lang w:val="en-GB"/>
        </w:rPr>
      </w:pPr>
      <w:r w:rsidRPr="00541C63">
        <w:rPr>
          <w:rFonts w:ascii="Calibri" w:hAnsi="Calibri" w:cs="Calibri"/>
          <w:b/>
          <w:bCs/>
          <w:color w:val="009999"/>
          <w:sz w:val="22"/>
          <w:szCs w:val="28"/>
          <w:lang w:val="en-GB"/>
        </w:rPr>
        <w:t xml:space="preserve">Identity of the responsible person from OECD for this </w:t>
      </w:r>
      <w:r w:rsidR="004C1A96">
        <w:rPr>
          <w:rFonts w:ascii="Calibri" w:hAnsi="Calibri" w:cs="Calibri"/>
          <w:b/>
          <w:bCs/>
          <w:color w:val="009999"/>
          <w:sz w:val="22"/>
          <w:szCs w:val="28"/>
          <w:lang w:val="en-GB"/>
        </w:rPr>
        <w:t>project</w:t>
      </w:r>
    </w:p>
    <w:p w14:paraId="378AF26B" w14:textId="4A11A558" w:rsidR="00A14626" w:rsidRPr="00A14626" w:rsidRDefault="00A003CF" w:rsidP="00A14626">
      <w:pPr>
        <w:pStyle w:val="ListParagraph"/>
        <w:spacing w:after="120" w:line="240" w:lineRule="auto"/>
        <w:contextualSpacing w:val="0"/>
        <w:jc w:val="both"/>
        <w:rPr>
          <w:rFonts w:asciiTheme="majorHAnsi" w:hAnsiTheme="majorHAnsi" w:cstheme="majorHAnsi"/>
          <w:sz w:val="22"/>
          <w:szCs w:val="22"/>
          <w:lang w:val="en-GB"/>
        </w:rPr>
      </w:pPr>
      <w:r w:rsidRPr="002957B0">
        <w:rPr>
          <w:rFonts w:asciiTheme="majorHAnsi" w:hAnsiTheme="majorHAnsi" w:cstheme="majorHAnsi"/>
          <w:sz w:val="22"/>
          <w:szCs w:val="22"/>
          <w:lang w:val="en-GB"/>
        </w:rPr>
        <w:t>Megan Kenned</w:t>
      </w:r>
      <w:r w:rsidR="006804B2">
        <w:rPr>
          <w:rFonts w:asciiTheme="majorHAnsi" w:hAnsiTheme="majorHAnsi" w:cstheme="majorHAnsi"/>
          <w:sz w:val="22"/>
          <w:szCs w:val="22"/>
          <w:lang w:val="en-GB"/>
        </w:rPr>
        <w:t>y</w:t>
      </w:r>
      <w:r w:rsidRPr="002957B0">
        <w:rPr>
          <w:rFonts w:asciiTheme="majorHAnsi" w:hAnsiTheme="majorHAnsi" w:cstheme="majorHAnsi"/>
          <w:sz w:val="22"/>
          <w:szCs w:val="22"/>
          <w:lang w:val="en-GB"/>
        </w:rPr>
        <w:t>-Chouane</w:t>
      </w:r>
      <w:r w:rsidR="00642A37">
        <w:rPr>
          <w:rFonts w:asciiTheme="majorHAnsi" w:hAnsiTheme="majorHAnsi" w:cstheme="majorHAnsi"/>
          <w:sz w:val="22"/>
          <w:szCs w:val="22"/>
          <w:lang w:val="en-GB"/>
        </w:rPr>
        <w:t xml:space="preserve">, </w:t>
      </w:r>
      <w:r w:rsidRPr="002957B0">
        <w:rPr>
          <w:rFonts w:asciiTheme="majorHAnsi" w:hAnsiTheme="majorHAnsi" w:cstheme="majorHAnsi"/>
          <w:sz w:val="22"/>
          <w:szCs w:val="22"/>
          <w:lang w:val="en-GB"/>
        </w:rPr>
        <w:t>Evaluation</w:t>
      </w:r>
      <w:r w:rsidR="00642A37" w:rsidRPr="00642A37">
        <w:rPr>
          <w:rFonts w:asciiTheme="majorHAnsi" w:hAnsiTheme="majorHAnsi" w:cstheme="majorHAnsi"/>
          <w:sz w:val="22"/>
          <w:szCs w:val="22"/>
          <w:lang w:val="en-GB"/>
        </w:rPr>
        <w:t xml:space="preserve"> </w:t>
      </w:r>
      <w:r w:rsidR="00642A37" w:rsidRPr="002957B0">
        <w:rPr>
          <w:rFonts w:asciiTheme="majorHAnsi" w:hAnsiTheme="majorHAnsi" w:cstheme="majorHAnsi"/>
          <w:sz w:val="22"/>
          <w:szCs w:val="22"/>
          <w:lang w:val="en-GB"/>
        </w:rPr>
        <w:t>Team Lead</w:t>
      </w:r>
      <w:r w:rsidR="00642A37">
        <w:rPr>
          <w:rFonts w:asciiTheme="majorHAnsi" w:hAnsiTheme="majorHAnsi" w:cstheme="majorHAnsi"/>
          <w:sz w:val="22"/>
          <w:szCs w:val="22"/>
          <w:lang w:val="en-GB"/>
        </w:rPr>
        <w:t xml:space="preserve">; </w:t>
      </w:r>
      <w:r w:rsidR="00A14626" w:rsidRPr="00A14626">
        <w:rPr>
          <w:rFonts w:asciiTheme="majorHAnsi" w:hAnsiTheme="majorHAnsi" w:cstheme="majorHAnsi"/>
          <w:sz w:val="22"/>
          <w:szCs w:val="22"/>
          <w:lang w:val="en-GB"/>
        </w:rPr>
        <w:t>Review</w:t>
      </w:r>
      <w:r w:rsidR="00642A37">
        <w:rPr>
          <w:rFonts w:asciiTheme="majorHAnsi" w:hAnsiTheme="majorHAnsi" w:cstheme="majorHAnsi"/>
          <w:sz w:val="22"/>
          <w:szCs w:val="22"/>
          <w:lang w:val="en-GB"/>
        </w:rPr>
        <w:t>s</w:t>
      </w:r>
      <w:r w:rsidR="00A14626" w:rsidRPr="00A14626">
        <w:rPr>
          <w:rFonts w:asciiTheme="majorHAnsi" w:hAnsiTheme="majorHAnsi" w:cstheme="majorHAnsi"/>
          <w:sz w:val="22"/>
          <w:szCs w:val="22"/>
          <w:lang w:val="en-GB"/>
        </w:rPr>
        <w:t>, Results, Evaluation &amp; Development Innovation</w:t>
      </w:r>
      <w:r w:rsidR="00642A37">
        <w:rPr>
          <w:rFonts w:asciiTheme="majorHAnsi" w:hAnsiTheme="majorHAnsi" w:cstheme="majorHAnsi"/>
          <w:sz w:val="22"/>
          <w:szCs w:val="22"/>
          <w:lang w:val="en-GB"/>
        </w:rPr>
        <w:t xml:space="preserve"> Division;</w:t>
      </w:r>
      <w:r w:rsidR="00A14626">
        <w:rPr>
          <w:rFonts w:asciiTheme="majorHAnsi" w:hAnsiTheme="majorHAnsi" w:cstheme="majorHAnsi"/>
          <w:sz w:val="22"/>
          <w:szCs w:val="22"/>
          <w:lang w:val="en-GB"/>
        </w:rPr>
        <w:t xml:space="preserve"> </w:t>
      </w:r>
      <w:r w:rsidR="00642A37" w:rsidRPr="00A14626">
        <w:rPr>
          <w:rFonts w:asciiTheme="majorHAnsi" w:hAnsiTheme="majorHAnsi" w:cstheme="majorHAnsi"/>
          <w:sz w:val="22"/>
          <w:szCs w:val="22"/>
          <w:lang w:val="en-GB"/>
        </w:rPr>
        <w:t>Development Co-operation Directorate</w:t>
      </w:r>
      <w:r w:rsidR="00642A37">
        <w:rPr>
          <w:rFonts w:asciiTheme="majorHAnsi" w:hAnsiTheme="majorHAnsi" w:cstheme="majorHAnsi"/>
          <w:sz w:val="22"/>
          <w:szCs w:val="22"/>
          <w:lang w:val="en-GB"/>
        </w:rPr>
        <w:t xml:space="preserve">; </w:t>
      </w:r>
      <w:r w:rsidR="00A14626">
        <w:rPr>
          <w:rFonts w:asciiTheme="majorHAnsi" w:hAnsiTheme="majorHAnsi" w:cstheme="majorHAnsi"/>
          <w:sz w:val="22"/>
          <w:szCs w:val="22"/>
          <w:lang w:val="en-GB"/>
        </w:rPr>
        <w:t>OECD.</w:t>
      </w:r>
    </w:p>
    <w:p w14:paraId="7ED6EAC5" w14:textId="2951605C" w:rsidR="00A003CF" w:rsidRDefault="00A003CF" w:rsidP="00541C63">
      <w:pPr>
        <w:pStyle w:val="ListParagraph"/>
        <w:numPr>
          <w:ilvl w:val="0"/>
          <w:numId w:val="27"/>
        </w:numPr>
        <w:spacing w:after="120" w:line="240" w:lineRule="auto"/>
        <w:contextualSpacing w:val="0"/>
        <w:jc w:val="both"/>
        <w:rPr>
          <w:rFonts w:asciiTheme="majorHAnsi" w:hAnsiTheme="majorHAnsi" w:cstheme="majorHAnsi"/>
          <w:b/>
          <w:bCs/>
          <w:sz w:val="22"/>
          <w:szCs w:val="22"/>
          <w:lang w:val="en-GB"/>
        </w:rPr>
      </w:pPr>
      <w:r w:rsidRPr="00541C63">
        <w:rPr>
          <w:rFonts w:ascii="Calibri" w:hAnsi="Calibri" w:cs="Calibri"/>
          <w:b/>
          <w:bCs/>
          <w:color w:val="009999"/>
          <w:sz w:val="22"/>
          <w:szCs w:val="28"/>
          <w:lang w:val="en-GB"/>
        </w:rPr>
        <w:t xml:space="preserve">Timing: </w:t>
      </w:r>
      <w:r>
        <w:rPr>
          <w:rFonts w:asciiTheme="majorHAnsi" w:hAnsiTheme="majorHAnsi" w:cstheme="majorHAnsi"/>
          <w:sz w:val="22"/>
          <w:szCs w:val="22"/>
          <w:lang w:val="en-GB"/>
        </w:rPr>
        <w:t>See below tentative timeline. T</w:t>
      </w:r>
      <w:r w:rsidRPr="00A003CF">
        <w:rPr>
          <w:rFonts w:asciiTheme="majorHAnsi" w:hAnsiTheme="majorHAnsi" w:cstheme="majorHAnsi"/>
          <w:sz w:val="22"/>
          <w:szCs w:val="22"/>
          <w:lang w:val="en-GB"/>
        </w:rPr>
        <w:t xml:space="preserve">he evaluation </w:t>
      </w:r>
      <w:r w:rsidR="005F0E8C">
        <w:rPr>
          <w:rFonts w:asciiTheme="majorHAnsi" w:hAnsiTheme="majorHAnsi" w:cstheme="majorHAnsi"/>
          <w:sz w:val="22"/>
          <w:szCs w:val="22"/>
          <w:lang w:val="en-GB"/>
        </w:rPr>
        <w:t>kicked off</w:t>
      </w:r>
      <w:r w:rsidRPr="00A003CF">
        <w:rPr>
          <w:rFonts w:asciiTheme="majorHAnsi" w:hAnsiTheme="majorHAnsi" w:cstheme="majorHAnsi"/>
          <w:sz w:val="22"/>
          <w:szCs w:val="22"/>
          <w:lang w:val="en-GB"/>
        </w:rPr>
        <w:t xml:space="preserve"> in </w:t>
      </w:r>
      <w:r w:rsidR="002A122C" w:rsidRPr="00A003CF">
        <w:rPr>
          <w:rFonts w:asciiTheme="majorHAnsi" w:hAnsiTheme="majorHAnsi" w:cstheme="majorHAnsi"/>
          <w:sz w:val="22"/>
          <w:szCs w:val="22"/>
          <w:lang w:val="en-GB"/>
        </w:rPr>
        <w:t>June 2022 and</w:t>
      </w:r>
      <w:r w:rsidRPr="00A003CF">
        <w:rPr>
          <w:rFonts w:asciiTheme="majorHAnsi" w:hAnsiTheme="majorHAnsi" w:cstheme="majorHAnsi"/>
          <w:sz w:val="22"/>
          <w:szCs w:val="22"/>
          <w:lang w:val="en-GB"/>
        </w:rPr>
        <w:t xml:space="preserve"> is currently in the early data collection phase. It is expected to be completed in mid-2024. Financial justifications and reporting will be provided by April 2025</w:t>
      </w:r>
      <w:r w:rsidR="002A122C">
        <w:rPr>
          <w:rFonts w:asciiTheme="majorHAnsi" w:hAnsiTheme="majorHAnsi" w:cstheme="majorHAnsi"/>
          <w:sz w:val="22"/>
          <w:szCs w:val="22"/>
          <w:lang w:val="en-GB"/>
        </w:rPr>
        <w:t>, in line with normal OECD rules and procedures</w:t>
      </w:r>
      <w:r w:rsidRPr="00A003CF">
        <w:rPr>
          <w:rFonts w:asciiTheme="majorHAnsi" w:hAnsiTheme="majorHAnsi" w:cstheme="majorHAnsi"/>
          <w:sz w:val="22"/>
          <w:szCs w:val="22"/>
          <w:lang w:val="en-GB"/>
        </w:rPr>
        <w:t xml:space="preserve">. </w:t>
      </w:r>
      <w:r w:rsidR="002A122C">
        <w:rPr>
          <w:rFonts w:asciiTheme="majorHAnsi" w:hAnsiTheme="majorHAnsi" w:cstheme="majorHAnsi"/>
          <w:sz w:val="22"/>
          <w:szCs w:val="22"/>
          <w:lang w:val="en-GB"/>
        </w:rPr>
        <w:t xml:space="preserve">The Coalition provides bi-annual updates to all participants. </w:t>
      </w:r>
    </w:p>
    <w:p w14:paraId="7757A72B" w14:textId="51988BE5" w:rsidR="00A003CF" w:rsidRPr="00A003CF" w:rsidRDefault="00642A37" w:rsidP="00A003CF">
      <w:pPr>
        <w:spacing w:after="120" w:line="240" w:lineRule="auto"/>
        <w:ind w:left="360"/>
        <w:jc w:val="both"/>
        <w:rPr>
          <w:rFonts w:asciiTheme="majorHAnsi" w:hAnsiTheme="majorHAnsi" w:cstheme="majorHAnsi"/>
          <w:b/>
          <w:bCs/>
          <w:sz w:val="22"/>
          <w:szCs w:val="22"/>
          <w:lang w:val="en-GB"/>
        </w:rPr>
      </w:pPr>
      <w:r>
        <w:rPr>
          <w:noProof/>
        </w:rPr>
        <w:drawing>
          <wp:inline distT="0" distB="0" distL="0" distR="0" wp14:anchorId="643BA6E2" wp14:editId="6852E4AC">
            <wp:extent cx="5332730" cy="8128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7534" b="10065"/>
                    <a:stretch/>
                  </pic:blipFill>
                  <pic:spPr bwMode="auto">
                    <a:xfrm>
                      <a:off x="0" y="0"/>
                      <a:ext cx="5343659" cy="814466"/>
                    </a:xfrm>
                    <a:prstGeom prst="rect">
                      <a:avLst/>
                    </a:prstGeom>
                    <a:ln>
                      <a:noFill/>
                    </a:ln>
                    <a:extLst>
                      <a:ext uri="{53640926-AAD7-44D8-BBD7-CCE9431645EC}">
                        <a14:shadowObscured xmlns:a14="http://schemas.microsoft.com/office/drawing/2010/main"/>
                      </a:ext>
                    </a:extLst>
                  </pic:spPr>
                </pic:pic>
              </a:graphicData>
            </a:graphic>
          </wp:inline>
        </w:drawing>
      </w:r>
    </w:p>
    <w:sectPr w:rsidR="00A003CF" w:rsidRPr="00A003CF" w:rsidSect="00CB76F2">
      <w:footerReference w:type="default" r:id="rId14"/>
      <w:headerReference w:type="first" r:id="rId15"/>
      <w:pgSz w:w="12240" w:h="15840"/>
      <w:pgMar w:top="720" w:right="1080" w:bottom="720" w:left="1080" w:header="567"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63D1" w14:textId="77777777" w:rsidR="006F72A5" w:rsidRDefault="006F72A5">
      <w:pPr>
        <w:spacing w:line="240" w:lineRule="auto"/>
      </w:pPr>
      <w:r>
        <w:separator/>
      </w:r>
    </w:p>
  </w:endnote>
  <w:endnote w:type="continuationSeparator" w:id="0">
    <w:p w14:paraId="0EF2A7E7" w14:textId="77777777" w:rsidR="006F72A5" w:rsidRDefault="006F72A5">
      <w:pPr>
        <w:spacing w:line="240" w:lineRule="auto"/>
      </w:pPr>
      <w:r>
        <w:continuationSeparator/>
      </w:r>
    </w:p>
  </w:endnote>
  <w:endnote w:type="continuationNotice" w:id="1">
    <w:p w14:paraId="7F1C3E17" w14:textId="77777777" w:rsidR="006F72A5" w:rsidRDefault="006F72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317D" w14:textId="71119DA5" w:rsidR="00C476E7" w:rsidRPr="00B55815" w:rsidRDefault="00B55815" w:rsidP="00FE6EA0">
    <w:pPr>
      <w:jc w:val="center"/>
      <w:rPr>
        <w:rFonts w:asciiTheme="majorHAnsi" w:hAnsiTheme="majorHAnsi" w:cstheme="majorHAnsi"/>
        <w:color w:val="08727A"/>
        <w:sz w:val="20"/>
        <w:szCs w:val="20"/>
      </w:rPr>
    </w:pPr>
    <w:r w:rsidRPr="00B55815">
      <w:rPr>
        <w:rFonts w:asciiTheme="majorHAnsi" w:hAnsiTheme="majorHAnsi" w:cstheme="majorHAnsi"/>
        <w:color w:val="08727A"/>
        <w:sz w:val="20"/>
        <w:szCs w:val="20"/>
      </w:rPr>
      <w:t xml:space="preserve">COVID-19 Global Evaluation Coalition </w:t>
    </w:r>
    <w:r w:rsidR="00F029C2" w:rsidRPr="00B55815">
      <w:rPr>
        <w:rFonts w:asciiTheme="majorHAnsi" w:hAnsiTheme="majorHAnsi" w:cstheme="majorHAnsi"/>
        <w:color w:val="08727A"/>
        <w:sz w:val="20"/>
        <w:szCs w:val="20"/>
      </w:rPr>
      <w:t xml:space="preserve">| </w:t>
    </w:r>
    <w:r w:rsidRPr="00B55815">
      <w:rPr>
        <w:rFonts w:asciiTheme="majorHAnsi" w:hAnsiTheme="majorHAnsi" w:cstheme="majorHAnsi"/>
        <w:color w:val="08727A"/>
        <w:sz w:val="20"/>
        <w:szCs w:val="20"/>
      </w:rPr>
      <w:t>www.covid19-evaluation-coalition.org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B22D" w14:textId="77777777" w:rsidR="006F72A5" w:rsidRDefault="006F72A5">
      <w:pPr>
        <w:spacing w:line="240" w:lineRule="auto"/>
      </w:pPr>
      <w:r>
        <w:separator/>
      </w:r>
    </w:p>
  </w:footnote>
  <w:footnote w:type="continuationSeparator" w:id="0">
    <w:p w14:paraId="10599FF6" w14:textId="77777777" w:rsidR="006F72A5" w:rsidRDefault="006F72A5">
      <w:pPr>
        <w:spacing w:line="240" w:lineRule="auto"/>
      </w:pPr>
      <w:r>
        <w:continuationSeparator/>
      </w:r>
    </w:p>
  </w:footnote>
  <w:footnote w:type="continuationNotice" w:id="1">
    <w:p w14:paraId="78B13E40" w14:textId="77777777" w:rsidR="006F72A5" w:rsidRDefault="006F72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5696" w14:textId="6EA63546" w:rsidR="00CB76F2" w:rsidRDefault="00CB76F2" w:rsidP="00CB76F2">
    <w:pPr>
      <w:pStyle w:val="Header"/>
      <w:jc w:val="center"/>
    </w:pPr>
    <w:r w:rsidRPr="00014C6D">
      <w:rPr>
        <w:noProof/>
        <w:lang w:val="es-MX" w:eastAsia="es-MX"/>
      </w:rPr>
      <w:drawing>
        <wp:inline distT="0" distB="0" distL="0" distR="0" wp14:anchorId="7956A59A" wp14:editId="71331469">
          <wp:extent cx="4994517" cy="672932"/>
          <wp:effectExtent l="0" t="0" r="0" b="0"/>
          <wp:docPr id="1" name="Picture 1" descr="cid:image003.jpg@01D86ECC.9C2F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6ECC.9C2F7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94517" cy="672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F90"/>
    <w:multiLevelType w:val="hybridMultilevel"/>
    <w:tmpl w:val="51FEEFFC"/>
    <w:lvl w:ilvl="0" w:tplc="D952C546">
      <w:start w:val="1"/>
      <w:numFmt w:val="bullet"/>
      <w:lvlText w:val=""/>
      <w:lvlJc w:val="left"/>
      <w:pPr>
        <w:ind w:left="720" w:hanging="360"/>
      </w:pPr>
      <w:rPr>
        <w:rFonts w:ascii="Wingdings" w:hAnsi="Wingdings" w:hint="default"/>
        <w:b/>
        <w:bCs/>
        <w:color w:val="00B3C5"/>
        <w:sz w:val="16"/>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5617"/>
    <w:multiLevelType w:val="hybridMultilevel"/>
    <w:tmpl w:val="DCEC0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2570"/>
    <w:multiLevelType w:val="hybridMultilevel"/>
    <w:tmpl w:val="5A90BE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DAA63AD"/>
    <w:multiLevelType w:val="hybridMultilevel"/>
    <w:tmpl w:val="7564173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B3C0F"/>
    <w:multiLevelType w:val="hybridMultilevel"/>
    <w:tmpl w:val="5A0E414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941D26"/>
    <w:multiLevelType w:val="hybridMultilevel"/>
    <w:tmpl w:val="BD7CBA6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964654"/>
    <w:multiLevelType w:val="hybridMultilevel"/>
    <w:tmpl w:val="4CE6ACF6"/>
    <w:lvl w:ilvl="0" w:tplc="04090005">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149E2E14"/>
    <w:multiLevelType w:val="hybridMultilevel"/>
    <w:tmpl w:val="08B4252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33475A"/>
    <w:multiLevelType w:val="hybridMultilevel"/>
    <w:tmpl w:val="B4ACA260"/>
    <w:lvl w:ilvl="0" w:tplc="FFFFFFFF">
      <w:start w:val="1"/>
      <w:numFmt w:val="decimal"/>
      <w:lvlText w:val="%1."/>
      <w:lvlJc w:val="left"/>
      <w:pPr>
        <w:ind w:left="720" w:hanging="360"/>
      </w:pPr>
      <w:rPr>
        <w:rFonts w:hint="default"/>
        <w:b/>
        <w:bCs/>
        <w:color w:val="00B3C5"/>
        <w:sz w:val="16"/>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7C3DBD"/>
    <w:multiLevelType w:val="hybridMultilevel"/>
    <w:tmpl w:val="FF145A7E"/>
    <w:lvl w:ilvl="0" w:tplc="EB608516">
      <w:start w:val="101"/>
      <w:numFmt w:val="bullet"/>
      <w:lvlText w:val="-"/>
      <w:lvlJc w:val="left"/>
      <w:pPr>
        <w:ind w:left="720" w:hanging="360"/>
      </w:pPr>
      <w:rPr>
        <w:rFonts w:ascii="Roboto" w:eastAsia="Calibri" w:hAnsi="Roboto"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26B775A9"/>
    <w:multiLevelType w:val="hybridMultilevel"/>
    <w:tmpl w:val="37CC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F3A3B"/>
    <w:multiLevelType w:val="multilevel"/>
    <w:tmpl w:val="6862D216"/>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F91671"/>
    <w:multiLevelType w:val="multilevel"/>
    <w:tmpl w:val="272E937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D63D0E"/>
    <w:multiLevelType w:val="hybridMultilevel"/>
    <w:tmpl w:val="24C4E346"/>
    <w:lvl w:ilvl="0" w:tplc="0409000D">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4" w15:restartNumberingAfterBreak="0">
    <w:nsid w:val="353B4E97"/>
    <w:multiLevelType w:val="hybridMultilevel"/>
    <w:tmpl w:val="6D48D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147553"/>
    <w:multiLevelType w:val="hybridMultilevel"/>
    <w:tmpl w:val="96888132"/>
    <w:lvl w:ilvl="0" w:tplc="D952C546">
      <w:start w:val="1"/>
      <w:numFmt w:val="bullet"/>
      <w:lvlText w:val=""/>
      <w:lvlJc w:val="left"/>
      <w:pPr>
        <w:ind w:left="720" w:hanging="360"/>
      </w:pPr>
      <w:rPr>
        <w:rFonts w:ascii="Wingdings" w:hAnsi="Wingdings" w:hint="default"/>
        <w:b/>
        <w:bCs/>
        <w:color w:val="00B3C5"/>
        <w:sz w:val="16"/>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527B0"/>
    <w:multiLevelType w:val="hybridMultilevel"/>
    <w:tmpl w:val="7A1615A4"/>
    <w:lvl w:ilvl="0" w:tplc="D83AD650">
      <w:numFmt w:val="bullet"/>
      <w:lvlText w:val="-"/>
      <w:lvlJc w:val="left"/>
      <w:pPr>
        <w:ind w:left="720" w:hanging="360"/>
      </w:pPr>
      <w:rPr>
        <w:rFonts w:ascii="Roboto" w:eastAsia="Calibri" w:hAnsi="Roboto"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4FBF2986"/>
    <w:multiLevelType w:val="multilevel"/>
    <w:tmpl w:val="58A41DE0"/>
    <w:lvl w:ilvl="0">
      <w:start w:val="1"/>
      <w:numFmt w:val="upperLetter"/>
      <w:lvlText w:val="%1."/>
      <w:lvlJc w:val="left"/>
      <w:pPr>
        <w:ind w:left="720" w:hanging="360"/>
      </w:pPr>
      <w:rPr>
        <w:rFonts w:asciiTheme="majorHAnsi" w:eastAsia="Arial" w:hAnsiTheme="majorHAnsi" w:cstheme="maj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FB6A5F"/>
    <w:multiLevelType w:val="hybridMultilevel"/>
    <w:tmpl w:val="3E4E7F2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B12342"/>
    <w:multiLevelType w:val="hybridMultilevel"/>
    <w:tmpl w:val="B14404E6"/>
    <w:lvl w:ilvl="0" w:tplc="0409000D">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0" w15:restartNumberingAfterBreak="0">
    <w:nsid w:val="5C480528"/>
    <w:multiLevelType w:val="hybridMultilevel"/>
    <w:tmpl w:val="E8E8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576C8"/>
    <w:multiLevelType w:val="hybridMultilevel"/>
    <w:tmpl w:val="2A961574"/>
    <w:lvl w:ilvl="0" w:tplc="FFFFFFFF">
      <w:start w:val="1"/>
      <w:numFmt w:val="decimal"/>
      <w:lvlText w:val="%1."/>
      <w:lvlJc w:val="left"/>
      <w:pPr>
        <w:ind w:left="720" w:hanging="360"/>
      </w:pPr>
      <w:rPr>
        <w:rFonts w:hint="default"/>
        <w:b/>
        <w:bCs/>
        <w:color w:val="00B3C5"/>
        <w:sz w:val="16"/>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B012F"/>
    <w:multiLevelType w:val="hybridMultilevel"/>
    <w:tmpl w:val="7C286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E68E5"/>
    <w:multiLevelType w:val="hybridMultilevel"/>
    <w:tmpl w:val="DC842EF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F40391E"/>
    <w:multiLevelType w:val="hybridMultilevel"/>
    <w:tmpl w:val="EBD0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C4FD1"/>
    <w:multiLevelType w:val="hybridMultilevel"/>
    <w:tmpl w:val="8836F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3468B"/>
    <w:multiLevelType w:val="hybridMultilevel"/>
    <w:tmpl w:val="F86285B8"/>
    <w:lvl w:ilvl="0" w:tplc="0409000F">
      <w:start w:val="1"/>
      <w:numFmt w:val="decimal"/>
      <w:lvlText w:val="%1."/>
      <w:lvlJc w:val="left"/>
      <w:pPr>
        <w:ind w:left="720" w:hanging="360"/>
      </w:pPr>
      <w:rPr>
        <w:rFonts w:hint="default"/>
        <w:b/>
        <w:bCs/>
        <w:color w:val="00B3C5"/>
        <w:sz w:val="16"/>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45985762">
    <w:abstractNumId w:val="12"/>
  </w:num>
  <w:num w:numId="2" w16cid:durableId="297608558">
    <w:abstractNumId w:val="17"/>
  </w:num>
  <w:num w:numId="3" w16cid:durableId="1292205351">
    <w:abstractNumId w:val="11"/>
  </w:num>
  <w:num w:numId="4" w16cid:durableId="1389573525">
    <w:abstractNumId w:val="20"/>
  </w:num>
  <w:num w:numId="5" w16cid:durableId="1231504805">
    <w:abstractNumId w:val="15"/>
  </w:num>
  <w:num w:numId="6" w16cid:durableId="386419678">
    <w:abstractNumId w:val="10"/>
  </w:num>
  <w:num w:numId="7" w16cid:durableId="728117084">
    <w:abstractNumId w:val="0"/>
  </w:num>
  <w:num w:numId="8" w16cid:durableId="1470126102">
    <w:abstractNumId w:val="2"/>
  </w:num>
  <w:num w:numId="9" w16cid:durableId="745032849">
    <w:abstractNumId w:val="1"/>
  </w:num>
  <w:num w:numId="10" w16cid:durableId="1210995869">
    <w:abstractNumId w:val="5"/>
  </w:num>
  <w:num w:numId="11" w16cid:durableId="695547646">
    <w:abstractNumId w:val="6"/>
  </w:num>
  <w:num w:numId="12" w16cid:durableId="1016804303">
    <w:abstractNumId w:val="13"/>
  </w:num>
  <w:num w:numId="13" w16cid:durableId="280187762">
    <w:abstractNumId w:val="25"/>
  </w:num>
  <w:num w:numId="14" w16cid:durableId="1391617862">
    <w:abstractNumId w:val="19"/>
  </w:num>
  <w:num w:numId="15" w16cid:durableId="691565357">
    <w:abstractNumId w:val="22"/>
  </w:num>
  <w:num w:numId="16" w16cid:durableId="851913160">
    <w:abstractNumId w:val="23"/>
  </w:num>
  <w:num w:numId="17" w16cid:durableId="1542861860">
    <w:abstractNumId w:val="26"/>
  </w:num>
  <w:num w:numId="18" w16cid:durableId="693844436">
    <w:abstractNumId w:val="3"/>
  </w:num>
  <w:num w:numId="19" w16cid:durableId="2082672255">
    <w:abstractNumId w:val="18"/>
  </w:num>
  <w:num w:numId="20" w16cid:durableId="381560439">
    <w:abstractNumId w:val="4"/>
  </w:num>
  <w:num w:numId="21" w16cid:durableId="1204171788">
    <w:abstractNumId w:val="7"/>
  </w:num>
  <w:num w:numId="22" w16cid:durableId="356856832">
    <w:abstractNumId w:val="16"/>
  </w:num>
  <w:num w:numId="23" w16cid:durableId="747387363">
    <w:abstractNumId w:val="9"/>
  </w:num>
  <w:num w:numId="24" w16cid:durableId="2054502022">
    <w:abstractNumId w:val="24"/>
  </w:num>
  <w:num w:numId="25" w16cid:durableId="370542114">
    <w:abstractNumId w:val="8"/>
  </w:num>
  <w:num w:numId="26" w16cid:durableId="2082751593">
    <w:abstractNumId w:val="14"/>
  </w:num>
  <w:num w:numId="27" w16cid:durableId="16608454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E7"/>
    <w:rsid w:val="00014C6D"/>
    <w:rsid w:val="00021FE6"/>
    <w:rsid w:val="00037E1F"/>
    <w:rsid w:val="00051F3F"/>
    <w:rsid w:val="0005359C"/>
    <w:rsid w:val="0006030E"/>
    <w:rsid w:val="00070C1D"/>
    <w:rsid w:val="000A6C81"/>
    <w:rsid w:val="000A7A3B"/>
    <w:rsid w:val="000B20C7"/>
    <w:rsid w:val="000C7D71"/>
    <w:rsid w:val="000F389D"/>
    <w:rsid w:val="0011547F"/>
    <w:rsid w:val="00123B57"/>
    <w:rsid w:val="00127528"/>
    <w:rsid w:val="00137D78"/>
    <w:rsid w:val="00144E49"/>
    <w:rsid w:val="0015184D"/>
    <w:rsid w:val="00172A19"/>
    <w:rsid w:val="00175734"/>
    <w:rsid w:val="001A5BC3"/>
    <w:rsid w:val="001C386A"/>
    <w:rsid w:val="001F37D4"/>
    <w:rsid w:val="00212E82"/>
    <w:rsid w:val="002134EB"/>
    <w:rsid w:val="002566DE"/>
    <w:rsid w:val="00261AB3"/>
    <w:rsid w:val="00267BDA"/>
    <w:rsid w:val="002704B3"/>
    <w:rsid w:val="00282D0E"/>
    <w:rsid w:val="0029364A"/>
    <w:rsid w:val="002957B0"/>
    <w:rsid w:val="00297A50"/>
    <w:rsid w:val="002A122C"/>
    <w:rsid w:val="002B0CFE"/>
    <w:rsid w:val="002B2697"/>
    <w:rsid w:val="002C2ACB"/>
    <w:rsid w:val="002D2F1C"/>
    <w:rsid w:val="002D79BC"/>
    <w:rsid w:val="00300E69"/>
    <w:rsid w:val="00323E11"/>
    <w:rsid w:val="00324052"/>
    <w:rsid w:val="0034115B"/>
    <w:rsid w:val="00345E8B"/>
    <w:rsid w:val="00351F11"/>
    <w:rsid w:val="00364411"/>
    <w:rsid w:val="00367741"/>
    <w:rsid w:val="00377C1E"/>
    <w:rsid w:val="00381509"/>
    <w:rsid w:val="003A16EE"/>
    <w:rsid w:val="003B1A87"/>
    <w:rsid w:val="003E68C3"/>
    <w:rsid w:val="003E6DD9"/>
    <w:rsid w:val="003F7103"/>
    <w:rsid w:val="004633DE"/>
    <w:rsid w:val="00483808"/>
    <w:rsid w:val="004968A9"/>
    <w:rsid w:val="004B16F4"/>
    <w:rsid w:val="004C1A96"/>
    <w:rsid w:val="004D5E2D"/>
    <w:rsid w:val="004D6A6B"/>
    <w:rsid w:val="004F1CB7"/>
    <w:rsid w:val="00522FC7"/>
    <w:rsid w:val="00541C63"/>
    <w:rsid w:val="00544106"/>
    <w:rsid w:val="0057649E"/>
    <w:rsid w:val="0059494D"/>
    <w:rsid w:val="005A4D1E"/>
    <w:rsid w:val="005C01F7"/>
    <w:rsid w:val="005C66E3"/>
    <w:rsid w:val="005C7438"/>
    <w:rsid w:val="005D2F75"/>
    <w:rsid w:val="005D50CC"/>
    <w:rsid w:val="005E0345"/>
    <w:rsid w:val="005E6780"/>
    <w:rsid w:val="005E71B2"/>
    <w:rsid w:val="005F0E8C"/>
    <w:rsid w:val="005F11D4"/>
    <w:rsid w:val="00603D88"/>
    <w:rsid w:val="00630614"/>
    <w:rsid w:val="00642A37"/>
    <w:rsid w:val="00657BDE"/>
    <w:rsid w:val="00672D0F"/>
    <w:rsid w:val="006804B2"/>
    <w:rsid w:val="00684FD9"/>
    <w:rsid w:val="006B494D"/>
    <w:rsid w:val="006D734B"/>
    <w:rsid w:val="006E0A3A"/>
    <w:rsid w:val="006E238E"/>
    <w:rsid w:val="006F72A5"/>
    <w:rsid w:val="006F7B71"/>
    <w:rsid w:val="00726F44"/>
    <w:rsid w:val="0072701E"/>
    <w:rsid w:val="0077228A"/>
    <w:rsid w:val="00790081"/>
    <w:rsid w:val="007B500E"/>
    <w:rsid w:val="007D23F5"/>
    <w:rsid w:val="007D5D9B"/>
    <w:rsid w:val="007E023D"/>
    <w:rsid w:val="0080741A"/>
    <w:rsid w:val="00816FCC"/>
    <w:rsid w:val="008461D6"/>
    <w:rsid w:val="00884BEA"/>
    <w:rsid w:val="00894757"/>
    <w:rsid w:val="008A3FCD"/>
    <w:rsid w:val="008B4317"/>
    <w:rsid w:val="008F0CBA"/>
    <w:rsid w:val="008F59F1"/>
    <w:rsid w:val="00902E05"/>
    <w:rsid w:val="00954C59"/>
    <w:rsid w:val="00982826"/>
    <w:rsid w:val="009842D4"/>
    <w:rsid w:val="00992B89"/>
    <w:rsid w:val="009A38C6"/>
    <w:rsid w:val="009E50F7"/>
    <w:rsid w:val="00A003CF"/>
    <w:rsid w:val="00A06863"/>
    <w:rsid w:val="00A14626"/>
    <w:rsid w:val="00A23591"/>
    <w:rsid w:val="00A32CD4"/>
    <w:rsid w:val="00A424C0"/>
    <w:rsid w:val="00A7223D"/>
    <w:rsid w:val="00A731F1"/>
    <w:rsid w:val="00A80316"/>
    <w:rsid w:val="00A933D6"/>
    <w:rsid w:val="00A96367"/>
    <w:rsid w:val="00AA638F"/>
    <w:rsid w:val="00AC42AF"/>
    <w:rsid w:val="00AE35A5"/>
    <w:rsid w:val="00AF248D"/>
    <w:rsid w:val="00AF6B75"/>
    <w:rsid w:val="00B22A29"/>
    <w:rsid w:val="00B46EA1"/>
    <w:rsid w:val="00B55815"/>
    <w:rsid w:val="00B71341"/>
    <w:rsid w:val="00B76757"/>
    <w:rsid w:val="00BA532D"/>
    <w:rsid w:val="00BA7B17"/>
    <w:rsid w:val="00BA7F27"/>
    <w:rsid w:val="00BB763C"/>
    <w:rsid w:val="00BB78DD"/>
    <w:rsid w:val="00BE02B9"/>
    <w:rsid w:val="00BF4930"/>
    <w:rsid w:val="00BF4F89"/>
    <w:rsid w:val="00BF7393"/>
    <w:rsid w:val="00C476E7"/>
    <w:rsid w:val="00C53924"/>
    <w:rsid w:val="00C77042"/>
    <w:rsid w:val="00C86030"/>
    <w:rsid w:val="00C90683"/>
    <w:rsid w:val="00CA7F76"/>
    <w:rsid w:val="00CB047E"/>
    <w:rsid w:val="00CB76F2"/>
    <w:rsid w:val="00D12463"/>
    <w:rsid w:val="00D1309D"/>
    <w:rsid w:val="00D2244D"/>
    <w:rsid w:val="00D224C2"/>
    <w:rsid w:val="00D24B40"/>
    <w:rsid w:val="00D26C21"/>
    <w:rsid w:val="00D27B62"/>
    <w:rsid w:val="00D326DE"/>
    <w:rsid w:val="00D32D21"/>
    <w:rsid w:val="00D4617B"/>
    <w:rsid w:val="00D5235A"/>
    <w:rsid w:val="00D80632"/>
    <w:rsid w:val="00D8551E"/>
    <w:rsid w:val="00D92898"/>
    <w:rsid w:val="00D93D81"/>
    <w:rsid w:val="00D952A0"/>
    <w:rsid w:val="00DA313F"/>
    <w:rsid w:val="00DA7922"/>
    <w:rsid w:val="00DD0C57"/>
    <w:rsid w:val="00E035EE"/>
    <w:rsid w:val="00E24AA4"/>
    <w:rsid w:val="00E32583"/>
    <w:rsid w:val="00E41F49"/>
    <w:rsid w:val="00E51206"/>
    <w:rsid w:val="00E761BA"/>
    <w:rsid w:val="00EE2F53"/>
    <w:rsid w:val="00EE6151"/>
    <w:rsid w:val="00F029C2"/>
    <w:rsid w:val="00F26C1C"/>
    <w:rsid w:val="00F36356"/>
    <w:rsid w:val="00F47280"/>
    <w:rsid w:val="00F7349A"/>
    <w:rsid w:val="00F82221"/>
    <w:rsid w:val="00F84621"/>
    <w:rsid w:val="00F93827"/>
    <w:rsid w:val="00F93C0D"/>
    <w:rsid w:val="00FB18CB"/>
    <w:rsid w:val="00FC020C"/>
    <w:rsid w:val="00FE6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D9742"/>
  <w15:docId w15:val="{9DF819FF-0F37-4AE8-9CA4-ABE15AE1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3" w:lineRule="auto"/>
      <w:jc w:val="center"/>
    </w:pPr>
    <w:rPr>
      <w:b/>
      <w:color w:val="3D85C6"/>
      <w:sz w:val="72"/>
      <w:szCs w:val="72"/>
    </w:rPr>
  </w:style>
  <w:style w:type="paragraph" w:styleId="Subtitle">
    <w:name w:val="Subtitle"/>
    <w:basedOn w:val="Normal"/>
    <w:next w:val="Normal"/>
    <w:uiPriority w:val="11"/>
    <w:qFormat/>
    <w:pPr>
      <w:keepNext/>
      <w:keepLines/>
      <w:spacing w:line="273" w:lineRule="auto"/>
      <w:jc w:val="center"/>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1F3F"/>
    <w:pPr>
      <w:tabs>
        <w:tab w:val="center" w:pos="4680"/>
        <w:tab w:val="right" w:pos="9360"/>
      </w:tabs>
      <w:spacing w:line="240" w:lineRule="auto"/>
    </w:pPr>
  </w:style>
  <w:style w:type="character" w:customStyle="1" w:styleId="HeaderChar">
    <w:name w:val="Header Char"/>
    <w:basedOn w:val="DefaultParagraphFont"/>
    <w:link w:val="Header"/>
    <w:uiPriority w:val="99"/>
    <w:rsid w:val="00051F3F"/>
  </w:style>
  <w:style w:type="paragraph" w:styleId="Footer">
    <w:name w:val="footer"/>
    <w:basedOn w:val="Normal"/>
    <w:link w:val="FooterChar"/>
    <w:uiPriority w:val="99"/>
    <w:unhideWhenUsed/>
    <w:rsid w:val="00051F3F"/>
    <w:pPr>
      <w:tabs>
        <w:tab w:val="center" w:pos="4680"/>
        <w:tab w:val="right" w:pos="9360"/>
      </w:tabs>
      <w:spacing w:line="240" w:lineRule="auto"/>
    </w:pPr>
  </w:style>
  <w:style w:type="character" w:customStyle="1" w:styleId="FooterChar">
    <w:name w:val="Footer Char"/>
    <w:basedOn w:val="DefaultParagraphFont"/>
    <w:link w:val="Footer"/>
    <w:uiPriority w:val="99"/>
    <w:rsid w:val="00051F3F"/>
  </w:style>
  <w:style w:type="character" w:styleId="Hyperlink">
    <w:name w:val="Hyperlink"/>
    <w:basedOn w:val="DefaultParagraphFont"/>
    <w:uiPriority w:val="99"/>
    <w:unhideWhenUsed/>
    <w:rsid w:val="008B4317"/>
    <w:rPr>
      <w:color w:val="0000FF"/>
      <w:u w:val="single"/>
    </w:rPr>
  </w:style>
  <w:style w:type="character" w:styleId="FollowedHyperlink">
    <w:name w:val="FollowedHyperlink"/>
    <w:basedOn w:val="DefaultParagraphFont"/>
    <w:uiPriority w:val="99"/>
    <w:semiHidden/>
    <w:unhideWhenUsed/>
    <w:rsid w:val="000A6C81"/>
    <w:rPr>
      <w:color w:val="800080" w:themeColor="followedHyperlink"/>
      <w:u w:val="single"/>
    </w:rPr>
  </w:style>
  <w:style w:type="paragraph" w:styleId="NormalWeb">
    <w:name w:val="Normal (Web)"/>
    <w:basedOn w:val="Normal"/>
    <w:uiPriority w:val="99"/>
    <w:semiHidden/>
    <w:unhideWhenUsed/>
    <w:rsid w:val="002D2F1C"/>
    <w:pPr>
      <w:spacing w:before="100" w:beforeAutospacing="1" w:after="100" w:afterAutospacing="1" w:line="240" w:lineRule="auto"/>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123B57"/>
    <w:rPr>
      <w:sz w:val="16"/>
      <w:szCs w:val="16"/>
    </w:rPr>
  </w:style>
  <w:style w:type="paragraph" w:styleId="CommentText">
    <w:name w:val="annotation text"/>
    <w:basedOn w:val="Normal"/>
    <w:link w:val="CommentTextChar"/>
    <w:uiPriority w:val="99"/>
    <w:unhideWhenUsed/>
    <w:rsid w:val="00123B57"/>
    <w:pPr>
      <w:spacing w:line="240" w:lineRule="auto"/>
    </w:pPr>
    <w:rPr>
      <w:sz w:val="20"/>
      <w:szCs w:val="20"/>
    </w:rPr>
  </w:style>
  <w:style w:type="character" w:customStyle="1" w:styleId="CommentTextChar">
    <w:name w:val="Comment Text Char"/>
    <w:basedOn w:val="DefaultParagraphFont"/>
    <w:link w:val="CommentText"/>
    <w:uiPriority w:val="99"/>
    <w:rsid w:val="00123B57"/>
    <w:rPr>
      <w:sz w:val="20"/>
      <w:szCs w:val="20"/>
    </w:rPr>
  </w:style>
  <w:style w:type="paragraph" w:styleId="CommentSubject">
    <w:name w:val="annotation subject"/>
    <w:basedOn w:val="CommentText"/>
    <w:next w:val="CommentText"/>
    <w:link w:val="CommentSubjectChar"/>
    <w:uiPriority w:val="99"/>
    <w:semiHidden/>
    <w:unhideWhenUsed/>
    <w:rsid w:val="00123B57"/>
    <w:rPr>
      <w:b/>
      <w:bCs/>
    </w:rPr>
  </w:style>
  <w:style w:type="character" w:customStyle="1" w:styleId="CommentSubjectChar">
    <w:name w:val="Comment Subject Char"/>
    <w:basedOn w:val="CommentTextChar"/>
    <w:link w:val="CommentSubject"/>
    <w:uiPriority w:val="99"/>
    <w:semiHidden/>
    <w:rsid w:val="00123B57"/>
    <w:rPr>
      <w:b/>
      <w:bCs/>
      <w:sz w:val="20"/>
      <w:szCs w:val="20"/>
    </w:rPr>
  </w:style>
  <w:style w:type="paragraph" w:styleId="BalloonText">
    <w:name w:val="Balloon Text"/>
    <w:basedOn w:val="Normal"/>
    <w:link w:val="BalloonTextChar"/>
    <w:uiPriority w:val="99"/>
    <w:semiHidden/>
    <w:unhideWhenUsed/>
    <w:rsid w:val="00123B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B57"/>
    <w:rPr>
      <w:rFonts w:ascii="Segoe UI" w:hAnsi="Segoe UI" w:cs="Segoe UI"/>
      <w:sz w:val="18"/>
      <w:szCs w:val="18"/>
    </w:rPr>
  </w:style>
  <w:style w:type="paragraph" w:styleId="ListParagraph">
    <w:name w:val="List Paragraph"/>
    <w:aliases w:val="a. List,Dot pt,F5 List Paragraph,List Paragraph1,Colorful List - Accent 11,No Spacing1,List Paragraph Char Char Char,Indicator Text,Numbered Para 1,Bullet 1,Bullet Points,List Paragraph2,MAIN CONTENT,OBC Bullet,List Paragraph12,L,CV text"/>
    <w:basedOn w:val="Normal"/>
    <w:link w:val="ListParagraphChar"/>
    <w:uiPriority w:val="34"/>
    <w:qFormat/>
    <w:rsid w:val="00BB763C"/>
    <w:pPr>
      <w:ind w:left="720"/>
      <w:contextualSpacing/>
    </w:pPr>
  </w:style>
  <w:style w:type="character" w:styleId="Emphasis">
    <w:name w:val="Emphasis"/>
    <w:basedOn w:val="DefaultParagraphFont"/>
    <w:uiPriority w:val="20"/>
    <w:qFormat/>
    <w:rsid w:val="00F93C0D"/>
    <w:rPr>
      <w:i/>
      <w:iCs/>
    </w:rPr>
  </w:style>
  <w:style w:type="character" w:customStyle="1" w:styleId="ListParagraphChar">
    <w:name w:val="List Paragraph Char"/>
    <w:aliases w:val="a. List Char,Dot pt Char,F5 List Paragraph Char,List Paragraph1 Char,Colorful List - Accent 11 Char,No Spacing1 Char,List Paragraph Char Char Char Char,Indicator Text Char,Numbered Para 1 Char,Bullet 1 Char,Bullet Points Char,L Char"/>
    <w:basedOn w:val="DefaultParagraphFont"/>
    <w:link w:val="ListParagraph"/>
    <w:uiPriority w:val="34"/>
    <w:locked/>
    <w:rsid w:val="004633DE"/>
  </w:style>
  <w:style w:type="character" w:styleId="UnresolvedMention">
    <w:name w:val="Unresolved Mention"/>
    <w:basedOn w:val="DefaultParagraphFont"/>
    <w:uiPriority w:val="99"/>
    <w:semiHidden/>
    <w:unhideWhenUsed/>
    <w:rsid w:val="00CB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876">
      <w:bodyDiv w:val="1"/>
      <w:marLeft w:val="0"/>
      <w:marRight w:val="0"/>
      <w:marTop w:val="0"/>
      <w:marBottom w:val="0"/>
      <w:divBdr>
        <w:top w:val="none" w:sz="0" w:space="0" w:color="auto"/>
        <w:left w:val="none" w:sz="0" w:space="0" w:color="auto"/>
        <w:bottom w:val="none" w:sz="0" w:space="0" w:color="auto"/>
        <w:right w:val="none" w:sz="0" w:space="0" w:color="auto"/>
      </w:divBdr>
    </w:div>
    <w:div w:id="134422105">
      <w:bodyDiv w:val="1"/>
      <w:marLeft w:val="0"/>
      <w:marRight w:val="0"/>
      <w:marTop w:val="0"/>
      <w:marBottom w:val="0"/>
      <w:divBdr>
        <w:top w:val="none" w:sz="0" w:space="0" w:color="auto"/>
        <w:left w:val="none" w:sz="0" w:space="0" w:color="auto"/>
        <w:bottom w:val="none" w:sz="0" w:space="0" w:color="auto"/>
        <w:right w:val="none" w:sz="0" w:space="0" w:color="auto"/>
      </w:divBdr>
    </w:div>
    <w:div w:id="381291979">
      <w:bodyDiv w:val="1"/>
      <w:marLeft w:val="0"/>
      <w:marRight w:val="0"/>
      <w:marTop w:val="0"/>
      <w:marBottom w:val="0"/>
      <w:divBdr>
        <w:top w:val="none" w:sz="0" w:space="0" w:color="auto"/>
        <w:left w:val="none" w:sz="0" w:space="0" w:color="auto"/>
        <w:bottom w:val="none" w:sz="0" w:space="0" w:color="auto"/>
        <w:right w:val="none" w:sz="0" w:space="0" w:color="auto"/>
      </w:divBdr>
    </w:div>
    <w:div w:id="436103132">
      <w:bodyDiv w:val="1"/>
      <w:marLeft w:val="0"/>
      <w:marRight w:val="0"/>
      <w:marTop w:val="0"/>
      <w:marBottom w:val="0"/>
      <w:divBdr>
        <w:top w:val="none" w:sz="0" w:space="0" w:color="auto"/>
        <w:left w:val="none" w:sz="0" w:space="0" w:color="auto"/>
        <w:bottom w:val="none" w:sz="0" w:space="0" w:color="auto"/>
        <w:right w:val="none" w:sz="0" w:space="0" w:color="auto"/>
      </w:divBdr>
    </w:div>
    <w:div w:id="572083619">
      <w:bodyDiv w:val="1"/>
      <w:marLeft w:val="0"/>
      <w:marRight w:val="0"/>
      <w:marTop w:val="0"/>
      <w:marBottom w:val="0"/>
      <w:divBdr>
        <w:top w:val="none" w:sz="0" w:space="0" w:color="auto"/>
        <w:left w:val="none" w:sz="0" w:space="0" w:color="auto"/>
        <w:bottom w:val="none" w:sz="0" w:space="0" w:color="auto"/>
        <w:right w:val="none" w:sz="0" w:space="0" w:color="auto"/>
      </w:divBdr>
    </w:div>
    <w:div w:id="584412770">
      <w:bodyDiv w:val="1"/>
      <w:marLeft w:val="0"/>
      <w:marRight w:val="0"/>
      <w:marTop w:val="0"/>
      <w:marBottom w:val="0"/>
      <w:divBdr>
        <w:top w:val="none" w:sz="0" w:space="0" w:color="auto"/>
        <w:left w:val="none" w:sz="0" w:space="0" w:color="auto"/>
        <w:bottom w:val="none" w:sz="0" w:space="0" w:color="auto"/>
        <w:right w:val="none" w:sz="0" w:space="0" w:color="auto"/>
      </w:divBdr>
    </w:div>
    <w:div w:id="640429392">
      <w:bodyDiv w:val="1"/>
      <w:marLeft w:val="0"/>
      <w:marRight w:val="0"/>
      <w:marTop w:val="0"/>
      <w:marBottom w:val="0"/>
      <w:divBdr>
        <w:top w:val="none" w:sz="0" w:space="0" w:color="auto"/>
        <w:left w:val="none" w:sz="0" w:space="0" w:color="auto"/>
        <w:bottom w:val="none" w:sz="0" w:space="0" w:color="auto"/>
        <w:right w:val="none" w:sz="0" w:space="0" w:color="auto"/>
      </w:divBdr>
    </w:div>
    <w:div w:id="745954890">
      <w:bodyDiv w:val="1"/>
      <w:marLeft w:val="0"/>
      <w:marRight w:val="0"/>
      <w:marTop w:val="0"/>
      <w:marBottom w:val="0"/>
      <w:divBdr>
        <w:top w:val="none" w:sz="0" w:space="0" w:color="auto"/>
        <w:left w:val="none" w:sz="0" w:space="0" w:color="auto"/>
        <w:bottom w:val="none" w:sz="0" w:space="0" w:color="auto"/>
        <w:right w:val="none" w:sz="0" w:space="0" w:color="auto"/>
      </w:divBdr>
    </w:div>
    <w:div w:id="964313336">
      <w:bodyDiv w:val="1"/>
      <w:marLeft w:val="0"/>
      <w:marRight w:val="0"/>
      <w:marTop w:val="0"/>
      <w:marBottom w:val="0"/>
      <w:divBdr>
        <w:top w:val="none" w:sz="0" w:space="0" w:color="auto"/>
        <w:left w:val="none" w:sz="0" w:space="0" w:color="auto"/>
        <w:bottom w:val="none" w:sz="0" w:space="0" w:color="auto"/>
        <w:right w:val="none" w:sz="0" w:space="0" w:color="auto"/>
      </w:divBdr>
    </w:div>
    <w:div w:id="1129515276">
      <w:bodyDiv w:val="1"/>
      <w:marLeft w:val="0"/>
      <w:marRight w:val="0"/>
      <w:marTop w:val="0"/>
      <w:marBottom w:val="0"/>
      <w:divBdr>
        <w:top w:val="none" w:sz="0" w:space="0" w:color="auto"/>
        <w:left w:val="none" w:sz="0" w:space="0" w:color="auto"/>
        <w:bottom w:val="none" w:sz="0" w:space="0" w:color="auto"/>
        <w:right w:val="none" w:sz="0" w:space="0" w:color="auto"/>
      </w:divBdr>
    </w:div>
    <w:div w:id="1238436399">
      <w:bodyDiv w:val="1"/>
      <w:marLeft w:val="0"/>
      <w:marRight w:val="0"/>
      <w:marTop w:val="0"/>
      <w:marBottom w:val="0"/>
      <w:divBdr>
        <w:top w:val="none" w:sz="0" w:space="0" w:color="auto"/>
        <w:left w:val="none" w:sz="0" w:space="0" w:color="auto"/>
        <w:bottom w:val="none" w:sz="0" w:space="0" w:color="auto"/>
        <w:right w:val="none" w:sz="0" w:space="0" w:color="auto"/>
      </w:divBdr>
    </w:div>
    <w:div w:id="1473475905">
      <w:bodyDiv w:val="1"/>
      <w:marLeft w:val="0"/>
      <w:marRight w:val="0"/>
      <w:marTop w:val="0"/>
      <w:marBottom w:val="0"/>
      <w:divBdr>
        <w:top w:val="none" w:sz="0" w:space="0" w:color="auto"/>
        <w:left w:val="none" w:sz="0" w:space="0" w:color="auto"/>
        <w:bottom w:val="none" w:sz="0" w:space="0" w:color="auto"/>
        <w:right w:val="none" w:sz="0" w:space="0" w:color="auto"/>
      </w:divBdr>
    </w:div>
    <w:div w:id="1518882171">
      <w:bodyDiv w:val="1"/>
      <w:marLeft w:val="0"/>
      <w:marRight w:val="0"/>
      <w:marTop w:val="0"/>
      <w:marBottom w:val="0"/>
      <w:divBdr>
        <w:top w:val="none" w:sz="0" w:space="0" w:color="auto"/>
        <w:left w:val="none" w:sz="0" w:space="0" w:color="auto"/>
        <w:bottom w:val="none" w:sz="0" w:space="0" w:color="auto"/>
        <w:right w:val="none" w:sz="0" w:space="0" w:color="auto"/>
      </w:divBdr>
    </w:div>
    <w:div w:id="1635213527">
      <w:bodyDiv w:val="1"/>
      <w:marLeft w:val="0"/>
      <w:marRight w:val="0"/>
      <w:marTop w:val="0"/>
      <w:marBottom w:val="0"/>
      <w:divBdr>
        <w:top w:val="none" w:sz="0" w:space="0" w:color="auto"/>
        <w:left w:val="none" w:sz="0" w:space="0" w:color="auto"/>
        <w:bottom w:val="none" w:sz="0" w:space="0" w:color="auto"/>
        <w:right w:val="none" w:sz="0" w:space="0" w:color="auto"/>
      </w:divBdr>
    </w:div>
    <w:div w:id="1705054608">
      <w:bodyDiv w:val="1"/>
      <w:marLeft w:val="0"/>
      <w:marRight w:val="0"/>
      <w:marTop w:val="0"/>
      <w:marBottom w:val="0"/>
      <w:divBdr>
        <w:top w:val="none" w:sz="0" w:space="0" w:color="auto"/>
        <w:left w:val="none" w:sz="0" w:space="0" w:color="auto"/>
        <w:bottom w:val="none" w:sz="0" w:space="0" w:color="auto"/>
        <w:right w:val="none" w:sz="0" w:space="0" w:color="auto"/>
      </w:divBdr>
    </w:div>
    <w:div w:id="1765683917">
      <w:bodyDiv w:val="1"/>
      <w:marLeft w:val="0"/>
      <w:marRight w:val="0"/>
      <w:marTop w:val="0"/>
      <w:marBottom w:val="0"/>
      <w:divBdr>
        <w:top w:val="none" w:sz="0" w:space="0" w:color="auto"/>
        <w:left w:val="none" w:sz="0" w:space="0" w:color="auto"/>
        <w:bottom w:val="none" w:sz="0" w:space="0" w:color="auto"/>
        <w:right w:val="none" w:sz="0" w:space="0" w:color="auto"/>
      </w:divBdr>
    </w:div>
    <w:div w:id="1769765056">
      <w:bodyDiv w:val="1"/>
      <w:marLeft w:val="0"/>
      <w:marRight w:val="0"/>
      <w:marTop w:val="0"/>
      <w:marBottom w:val="0"/>
      <w:divBdr>
        <w:top w:val="none" w:sz="0" w:space="0" w:color="auto"/>
        <w:left w:val="none" w:sz="0" w:space="0" w:color="auto"/>
        <w:bottom w:val="none" w:sz="0" w:space="0" w:color="auto"/>
        <w:right w:val="none" w:sz="0" w:space="0" w:color="auto"/>
      </w:divBdr>
    </w:div>
    <w:div w:id="1984773348">
      <w:bodyDiv w:val="1"/>
      <w:marLeft w:val="0"/>
      <w:marRight w:val="0"/>
      <w:marTop w:val="0"/>
      <w:marBottom w:val="0"/>
      <w:divBdr>
        <w:top w:val="none" w:sz="0" w:space="0" w:color="auto"/>
        <w:left w:val="none" w:sz="0" w:space="0" w:color="auto"/>
        <w:bottom w:val="none" w:sz="0" w:space="0" w:color="auto"/>
        <w:right w:val="none" w:sz="0" w:space="0" w:color="auto"/>
      </w:divBdr>
    </w:div>
    <w:div w:id="1985964366">
      <w:bodyDiv w:val="1"/>
      <w:marLeft w:val="0"/>
      <w:marRight w:val="0"/>
      <w:marTop w:val="0"/>
      <w:marBottom w:val="0"/>
      <w:divBdr>
        <w:top w:val="none" w:sz="0" w:space="0" w:color="auto"/>
        <w:left w:val="none" w:sz="0" w:space="0" w:color="auto"/>
        <w:bottom w:val="none" w:sz="0" w:space="0" w:color="auto"/>
        <w:right w:val="none" w:sz="0" w:space="0" w:color="auto"/>
      </w:divBdr>
    </w:div>
    <w:div w:id="2054579167">
      <w:bodyDiv w:val="1"/>
      <w:marLeft w:val="0"/>
      <w:marRight w:val="0"/>
      <w:marTop w:val="0"/>
      <w:marBottom w:val="0"/>
      <w:divBdr>
        <w:top w:val="none" w:sz="0" w:space="0" w:color="auto"/>
        <w:left w:val="none" w:sz="0" w:space="0" w:color="auto"/>
        <w:bottom w:val="none" w:sz="0" w:space="0" w:color="auto"/>
        <w:right w:val="none" w:sz="0" w:space="0" w:color="auto"/>
      </w:divBdr>
    </w:div>
    <w:div w:id="2070151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e-communities.oecd.org/community/dacpwbfunding/SitePages/H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e.oecd.org/document/DCD/DAC(2022)23/REV2/e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ovid19-evaluation-coalition.org/documents/Final%20TOR%20Strategic%20Joint%20Evaluation%20-%20Nov%20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86F85.023A054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EE42442A9674F8948EF2AB5F005FB" ma:contentTypeVersion="13" ma:contentTypeDescription="Crée un document." ma:contentTypeScope="" ma:versionID="69f29ca044169e1a88bfc6cc8f7fffc8">
  <xsd:schema xmlns:xsd="http://www.w3.org/2001/XMLSchema" xmlns:xs="http://www.w3.org/2001/XMLSchema" xmlns:p="http://schemas.microsoft.com/office/2006/metadata/properties" xmlns:ns3="1856eeac-9e7c-4a53-91dc-fd41ea58891e" xmlns:ns4="ddb87185-3766-4fb2-b001-65e137a85c09" targetNamespace="http://schemas.microsoft.com/office/2006/metadata/properties" ma:root="true" ma:fieldsID="b708a632d4c1a7c9658ccca1f5adac74" ns3:_="" ns4:_="">
    <xsd:import namespace="1856eeac-9e7c-4a53-91dc-fd41ea58891e"/>
    <xsd:import namespace="ddb87185-3766-4fb2-b001-65e137a85c0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eeac-9e7c-4a53-91dc-fd41ea58891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87185-3766-4fb2-b001-65e137a85c09"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element name="SharingHintHash" ma:index="1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856eeac-9e7c-4a53-91dc-fd41ea58891e" xsi:nil="true"/>
  </documentManagement>
</p:properties>
</file>

<file path=customXml/itemProps1.xml><?xml version="1.0" encoding="utf-8"?>
<ds:datastoreItem xmlns:ds="http://schemas.openxmlformats.org/officeDocument/2006/customXml" ds:itemID="{1AB01B3B-86EB-4A88-BFD1-7B869E7B8912}">
  <ds:schemaRefs>
    <ds:schemaRef ds:uri="http://schemas.microsoft.com/sharepoint/v3/contenttype/forms"/>
  </ds:schemaRefs>
</ds:datastoreItem>
</file>

<file path=customXml/itemProps2.xml><?xml version="1.0" encoding="utf-8"?>
<ds:datastoreItem xmlns:ds="http://schemas.openxmlformats.org/officeDocument/2006/customXml" ds:itemID="{D83A53AD-D29C-470B-B7C6-7C54B59B2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eeac-9e7c-4a53-91dc-fd41ea58891e"/>
    <ds:schemaRef ds:uri="ddb87185-3766-4fb2-b001-65e137a8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134D0-5E5C-4CFF-85C4-3ED2A3236574}">
  <ds:schemaRefs>
    <ds:schemaRef ds:uri="http://schemas.microsoft.com/office/2006/metadata/properties"/>
    <ds:schemaRef ds:uri="http://schemas.microsoft.com/office/infopath/2007/PartnerControls"/>
    <ds:schemaRef ds:uri="1856eeac-9e7c-4a53-91dc-fd41ea5889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Team Meeting Agenda Template</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Meeting Agenda Template</dc:title>
  <dc:creator>Vertex42.com</dc:creator>
  <dc:description>(c) 2019 Vertex42 LLC. All Rights Reserved.</dc:description>
  <cp:lastModifiedBy>Hooghe Ivo - S2</cp:lastModifiedBy>
  <cp:revision>2</cp:revision>
  <cp:lastPrinted>2023-11-07T14:19:00Z</cp:lastPrinted>
  <dcterms:created xsi:type="dcterms:W3CDTF">2023-11-07T14:19:00Z</dcterms:created>
  <dcterms:modified xsi:type="dcterms:W3CDTF">2023-11-07T14:19:00Z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y fmtid="{D5CDD505-2E9C-101B-9397-08002B2CF9AE}" pid="6" name="ContentTypeId">
    <vt:lpwstr>0x01010099CEE42442A9674F8948EF2AB5F005FB</vt:lpwstr>
  </property>
  <property fmtid="{D5CDD505-2E9C-101B-9397-08002B2CF9AE}" pid="7" name="OECDCountry">
    <vt:lpwstr/>
  </property>
  <property fmtid="{D5CDD505-2E9C-101B-9397-08002B2CF9AE}" pid="8" name="OECDTopic">
    <vt:lpwstr>392;#Evaluation|26a29d1d-87d2-41c5-a25d-cd14f39607ed;#170;#Development co-operation|838733ca-3f54-49b8-8e91-67307ccb8cf5</vt:lpwstr>
  </property>
  <property fmtid="{D5CDD505-2E9C-101B-9397-08002B2CF9AE}" pid="9" name="OECDCommittee">
    <vt:lpwstr>175;#Development Assistance Committee|2faf91c1-e6dc-4693-9cb6-cb3efe104dc9</vt:lpwstr>
  </property>
  <property fmtid="{D5CDD505-2E9C-101B-9397-08002B2CF9AE}" pid="10" name="OECDPWB">
    <vt:lpwstr>1448;#5.1.2 Effective development co-operation through reviews and evidence|d94beef5-1fce-479a-a47a-a8cc0c090b06</vt:lpwstr>
  </property>
  <property fmtid="{D5CDD505-2E9C-101B-9397-08002B2CF9AE}" pid="11" name="OECDKeywords">
    <vt:lpwstr>635;#Evaluation|09c98c89-62fa-473c-9fd6-e8474e06c1b1;#1415;#COVID-19|fc8ed6ad-6208-494c-b9f9-8f7403cd7293</vt:lpwstr>
  </property>
  <property fmtid="{D5CDD505-2E9C-101B-9397-08002B2CF9AE}" pid="12" name="OECDHorizontalProjects">
    <vt:lpwstr/>
  </property>
  <property fmtid="{D5CDD505-2E9C-101B-9397-08002B2CF9AE}" pid="13" name="OECDProjectOwnerStructure">
    <vt:lpwstr/>
  </property>
  <property fmtid="{D5CDD505-2E9C-101B-9397-08002B2CF9AE}" pid="14" name="eShareOrganisationTaxHTField0">
    <vt:lpwstr/>
  </property>
  <property fmtid="{D5CDD505-2E9C-101B-9397-08002B2CF9AE}" pid="15" name="d0b6f6ac229144c2899590f0436d9385">
    <vt:lpwstr/>
  </property>
  <property fmtid="{D5CDD505-2E9C-101B-9397-08002B2CF9AE}" pid="16" name="OECDProject">
    <vt:lpwstr/>
  </property>
  <property fmtid="{D5CDD505-2E9C-101B-9397-08002B2CF9AE}" pid="17" name="OECDOrganisation">
    <vt:lpwstr/>
  </property>
  <property fmtid="{D5CDD505-2E9C-101B-9397-08002B2CF9AE}" pid="18" name="_docset_NoMedatataSyncRequired">
    <vt:lpwstr>False</vt:lpwstr>
  </property>
  <property fmtid="{D5CDD505-2E9C-101B-9397-08002B2CF9AE}" pid="19" name="MSIP_Label_dddc1db8-2f64-468c-a02a-c7d04ea19826_Enabled">
    <vt:lpwstr>true</vt:lpwstr>
  </property>
  <property fmtid="{D5CDD505-2E9C-101B-9397-08002B2CF9AE}" pid="20" name="MSIP_Label_dddc1db8-2f64-468c-a02a-c7d04ea19826_SetDate">
    <vt:lpwstr>2023-07-25T13:03:14Z</vt:lpwstr>
  </property>
  <property fmtid="{D5CDD505-2E9C-101B-9397-08002B2CF9AE}" pid="21" name="MSIP_Label_dddc1db8-2f64-468c-a02a-c7d04ea19826_Method">
    <vt:lpwstr>Privileged</vt:lpwstr>
  </property>
  <property fmtid="{D5CDD505-2E9C-101B-9397-08002B2CF9AE}" pid="22" name="MSIP_Label_dddc1db8-2f64-468c-a02a-c7d04ea19826_Name">
    <vt:lpwstr>Non classifié - Niet geclassificeerd</vt:lpwstr>
  </property>
  <property fmtid="{D5CDD505-2E9C-101B-9397-08002B2CF9AE}" pid="23" name="MSIP_Label_dddc1db8-2f64-468c-a02a-c7d04ea19826_SiteId">
    <vt:lpwstr>80153b30-e434-429b-b41c-0d47f9deec42</vt:lpwstr>
  </property>
  <property fmtid="{D5CDD505-2E9C-101B-9397-08002B2CF9AE}" pid="24" name="MSIP_Label_dddc1db8-2f64-468c-a02a-c7d04ea19826_ActionId">
    <vt:lpwstr>8eb10f07-f37c-4e48-b41f-de0b442118fa</vt:lpwstr>
  </property>
  <property fmtid="{D5CDD505-2E9C-101B-9397-08002B2CF9AE}" pid="25" name="MSIP_Label_dddc1db8-2f64-468c-a02a-c7d04ea19826_ContentBits">
    <vt:lpwstr>0</vt:lpwstr>
  </property>
</Properties>
</file>