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E1DF"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26DB26A4"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40663A5E"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r>
        <w:rPr>
          <w:noProof/>
        </w:rPr>
        <w:drawing>
          <wp:inline distT="0" distB="0" distL="0" distR="0" wp14:anchorId="370F8962" wp14:editId="6858780D">
            <wp:extent cx="3486150" cy="1619250"/>
            <wp:effectExtent l="0" t="0" r="0" b="0"/>
            <wp:docPr id="592205565" name="Image 592205565" descr="Une image contenant Graphiqu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205565" name="Image 592205565" descr="Une image contenant Graphique, Police, capture d’écran, conception&#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619250"/>
                    </a:xfrm>
                    <a:prstGeom prst="rect">
                      <a:avLst/>
                    </a:prstGeom>
                    <a:noFill/>
                    <a:ln>
                      <a:noFill/>
                    </a:ln>
                  </pic:spPr>
                </pic:pic>
              </a:graphicData>
            </a:graphic>
          </wp:inline>
        </w:drawing>
      </w:r>
    </w:p>
    <w:p w14:paraId="2CDA0B5B"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pPr>
    </w:p>
    <w:p w14:paraId="43F2686B"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b/>
          <w:bCs/>
          <w:sz w:val="48"/>
          <w:szCs w:val="48"/>
        </w:rPr>
      </w:pPr>
    </w:p>
    <w:p w14:paraId="321DCEEB" w14:textId="77777777" w:rsidR="00AB265F" w:rsidRP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mallCaps/>
          <w:sz w:val="24"/>
          <w:szCs w:val="24"/>
          <w:lang w:val="fr-FR"/>
        </w:rPr>
      </w:pPr>
    </w:p>
    <w:p w14:paraId="3C97CD5C" w14:textId="77777777" w:rsidR="00AB265F" w:rsidRP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b/>
          <w:bCs/>
          <w:sz w:val="48"/>
          <w:szCs w:val="48"/>
        </w:rPr>
      </w:pPr>
      <w:r w:rsidRPr="00AB265F">
        <w:rPr>
          <w:b/>
          <w:bCs/>
          <w:sz w:val="48"/>
          <w:szCs w:val="48"/>
        </w:rPr>
        <w:t>Promouvoir les collaborations et synergies pour la sécurité alimentaire</w:t>
      </w:r>
    </w:p>
    <w:p w14:paraId="26AE20E9" w14:textId="77777777" w:rsidR="00AB265F" w:rsidRP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mallCaps/>
          <w:sz w:val="24"/>
          <w:szCs w:val="24"/>
          <w:lang w:val="fr-FR"/>
        </w:rPr>
      </w:pPr>
    </w:p>
    <w:p w14:paraId="01313FFF" w14:textId="77777777" w:rsidR="00AB265F" w:rsidRP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mallCaps/>
          <w:sz w:val="24"/>
          <w:szCs w:val="24"/>
          <w:lang w:val="fr-FR"/>
        </w:rPr>
      </w:pPr>
    </w:p>
    <w:p w14:paraId="5970D9B3" w14:textId="77777777" w:rsidR="00AB265F" w:rsidRP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mallCaps/>
          <w:sz w:val="24"/>
          <w:szCs w:val="24"/>
          <w:lang w:val="fr-FR"/>
        </w:rPr>
      </w:pPr>
    </w:p>
    <w:p w14:paraId="27C5E260" w14:textId="7C8CF148"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mallCaps/>
          <w:sz w:val="36"/>
          <w:szCs w:val="36"/>
          <w:lang w:val="fr-FR"/>
        </w:rPr>
      </w:pPr>
      <w:r w:rsidRPr="00AB265F">
        <w:rPr>
          <w:rFonts w:ascii="Arial" w:hAnsi="Arial"/>
          <w:smallCaps/>
          <w:sz w:val="36"/>
          <w:szCs w:val="36"/>
          <w:lang w:val="fr-FR"/>
        </w:rPr>
        <w:t>Financement du secrétariat de la Plateforme Agriculture et sécurité alimentaire</w:t>
      </w:r>
      <w:r>
        <w:rPr>
          <w:rFonts w:ascii="Arial" w:hAnsi="Arial"/>
          <w:smallCaps/>
          <w:sz w:val="36"/>
          <w:szCs w:val="36"/>
          <w:lang w:val="fr-FR"/>
        </w:rPr>
        <w:t xml:space="preserve"> (PASA)</w:t>
      </w:r>
    </w:p>
    <w:p w14:paraId="226DF4E1" w14:textId="593E7A43" w:rsidR="00AB265F" w:rsidRP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mallCaps/>
          <w:sz w:val="36"/>
          <w:szCs w:val="36"/>
          <w:lang w:val="fr-FR"/>
        </w:rPr>
      </w:pPr>
      <w:r>
        <w:rPr>
          <w:rFonts w:ascii="Arial" w:hAnsi="Arial"/>
          <w:smallCaps/>
          <w:sz w:val="36"/>
          <w:szCs w:val="36"/>
          <w:lang w:val="fr-FR"/>
        </w:rPr>
        <w:t>2023-2025</w:t>
      </w:r>
    </w:p>
    <w:p w14:paraId="6D8A4388"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rPr>
          <w:rFonts w:ascii="Arial" w:hAnsi="Arial"/>
          <w:smallCaps/>
          <w:sz w:val="24"/>
          <w:szCs w:val="24"/>
          <w:lang w:val="fr-FR"/>
        </w:rPr>
      </w:pPr>
    </w:p>
    <w:p w14:paraId="6C4D9D42"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z w:val="36"/>
          <w:szCs w:val="36"/>
          <w:lang w:val="fr-FR" w:eastAsia="fr-FR"/>
        </w:rPr>
      </w:pPr>
    </w:p>
    <w:p w14:paraId="4E2A7115" w14:textId="77777777" w:rsidR="00AB265F" w:rsidRPr="00496BF9"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jc w:val="center"/>
        <w:rPr>
          <w:rFonts w:ascii="Arial" w:hAnsi="Arial"/>
          <w:sz w:val="36"/>
          <w:szCs w:val="36"/>
          <w:lang w:eastAsia="fr-FR"/>
        </w:rPr>
      </w:pPr>
    </w:p>
    <w:p w14:paraId="0FF17169"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rPr>
          <w:rFonts w:ascii="Arial" w:hAnsi="Arial"/>
          <w:sz w:val="24"/>
          <w:szCs w:val="24"/>
          <w:lang w:val="fr-FR" w:eastAsia="fr-FR"/>
        </w:rPr>
      </w:pPr>
    </w:p>
    <w:p w14:paraId="3C98847D" w14:textId="77777777" w:rsidR="00AB265F"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rPr>
          <w:rFonts w:ascii="Arial" w:hAnsi="Arial"/>
          <w:sz w:val="24"/>
          <w:szCs w:val="24"/>
          <w:lang w:val="fr-FR" w:eastAsia="fr-FR"/>
        </w:rPr>
      </w:pPr>
    </w:p>
    <w:p w14:paraId="421F83DB" w14:textId="77777777" w:rsidR="00AB265F" w:rsidRPr="00E5088D" w:rsidRDefault="00AB265F" w:rsidP="00AB265F">
      <w:pPr>
        <w:pBdr>
          <w:top w:val="single" w:sz="4" w:space="1" w:color="000000"/>
          <w:left w:val="single" w:sz="4" w:space="4" w:color="000000"/>
          <w:bottom w:val="single" w:sz="4" w:space="1" w:color="000000"/>
          <w:right w:val="single" w:sz="4" w:space="4" w:color="000000"/>
        </w:pBdr>
        <w:tabs>
          <w:tab w:val="left" w:pos="2835"/>
          <w:tab w:val="right" w:leader="dot" w:pos="9072"/>
        </w:tabs>
        <w:ind w:right="4"/>
        <w:rPr>
          <w:lang w:val="fr-FR"/>
        </w:rPr>
      </w:pPr>
    </w:p>
    <w:p w14:paraId="4E12373C" w14:textId="61555DC2" w:rsidR="00AB265F" w:rsidRDefault="00AB265F" w:rsidP="00AB265F">
      <w:pPr>
        <w:pBdr>
          <w:top w:val="single" w:sz="4" w:space="1" w:color="000000"/>
          <w:left w:val="single" w:sz="4" w:space="4" w:color="000000"/>
          <w:bottom w:val="single" w:sz="4" w:space="1" w:color="000000"/>
          <w:right w:val="single" w:sz="4" w:space="4" w:color="000000"/>
        </w:pBdr>
        <w:tabs>
          <w:tab w:val="left" w:pos="284"/>
          <w:tab w:val="left" w:pos="2835"/>
          <w:tab w:val="right" w:leader="dot" w:pos="9072"/>
        </w:tabs>
        <w:ind w:right="4"/>
        <w:jc w:val="center"/>
      </w:pPr>
      <w:r>
        <w:rPr>
          <w:rFonts w:ascii="Arial" w:hAnsi="Arial"/>
          <w:smallCaps/>
          <w:sz w:val="24"/>
          <w:szCs w:val="24"/>
          <w:lang w:val="fr-FR"/>
        </w:rPr>
        <w:t>montant demandé :</w:t>
      </w:r>
      <w:r>
        <w:rPr>
          <w:rFonts w:ascii="Arial" w:hAnsi="Arial"/>
          <w:smallCaps/>
          <w:sz w:val="24"/>
          <w:szCs w:val="24"/>
          <w:lang w:val="fr-FR"/>
        </w:rPr>
        <w:tab/>
      </w:r>
      <w:r w:rsidRPr="002E317D">
        <w:rPr>
          <w:rFonts w:ascii="Arial" w:hAnsi="Arial"/>
          <w:sz w:val="24"/>
          <w:szCs w:val="24"/>
          <w:lang w:val="fr-FR"/>
        </w:rPr>
        <w:t>€</w:t>
      </w:r>
    </w:p>
    <w:p w14:paraId="2BDDC7FF" w14:textId="753AA92F" w:rsidR="00AB265F" w:rsidRDefault="00AB265F" w:rsidP="00AB265F">
      <w:pPr>
        <w:pBdr>
          <w:top w:val="single" w:sz="4" w:space="1" w:color="000000"/>
          <w:left w:val="single" w:sz="4" w:space="4" w:color="000000"/>
          <w:bottom w:val="single" w:sz="4" w:space="1" w:color="000000"/>
          <w:right w:val="single" w:sz="4" w:space="4" w:color="000000"/>
        </w:pBdr>
        <w:tabs>
          <w:tab w:val="left" w:pos="284"/>
          <w:tab w:val="left" w:pos="2835"/>
          <w:tab w:val="right" w:leader="dot" w:pos="9072"/>
        </w:tabs>
        <w:ind w:right="4"/>
        <w:jc w:val="center"/>
      </w:pPr>
      <w:r>
        <w:rPr>
          <w:rFonts w:ascii="Arial" w:hAnsi="Arial"/>
          <w:smallCaps/>
          <w:sz w:val="24"/>
          <w:szCs w:val="24"/>
          <w:lang w:val="fr-FR"/>
        </w:rPr>
        <w:t xml:space="preserve">durée :  36 </w:t>
      </w:r>
      <w:r>
        <w:rPr>
          <w:rFonts w:ascii="Arial" w:hAnsi="Arial"/>
          <w:sz w:val="24"/>
          <w:szCs w:val="24"/>
          <w:lang w:val="fr-FR"/>
        </w:rPr>
        <w:t>mois</w:t>
      </w:r>
    </w:p>
    <w:p w14:paraId="764E5B3F" w14:textId="3C13BAED" w:rsidR="00AB265F" w:rsidRDefault="00AB265F" w:rsidP="00AB265F">
      <w:pPr>
        <w:pBdr>
          <w:top w:val="single" w:sz="4" w:space="1" w:color="000000"/>
          <w:left w:val="single" w:sz="4" w:space="4" w:color="000000"/>
          <w:bottom w:val="single" w:sz="4" w:space="1" w:color="000000"/>
          <w:right w:val="single" w:sz="4" w:space="4" w:color="000000"/>
        </w:pBdr>
        <w:tabs>
          <w:tab w:val="left" w:pos="284"/>
          <w:tab w:val="left" w:pos="2835"/>
          <w:tab w:val="right" w:leader="dot" w:pos="9072"/>
        </w:tabs>
        <w:ind w:right="4"/>
        <w:jc w:val="center"/>
      </w:pPr>
      <w:r>
        <w:rPr>
          <w:rFonts w:ascii="Arial" w:hAnsi="Arial"/>
          <w:smallCaps/>
          <w:sz w:val="24"/>
          <w:szCs w:val="24"/>
          <w:lang w:val="fr-FR"/>
        </w:rPr>
        <w:t>date d'introduction du projet : AOÛT 2023</w:t>
      </w:r>
    </w:p>
    <w:p w14:paraId="2909728E" w14:textId="4E77B935" w:rsidR="00693F0E" w:rsidRDefault="00693F0E" w:rsidP="00AC1FC1"/>
    <w:bookmarkStart w:id="0" w:name="_Toc136943587" w:displacedByCustomXml="next"/>
    <w:bookmarkStart w:id="1" w:name="_Toc113388644" w:displacedByCustomXml="next"/>
    <w:bookmarkStart w:id="2" w:name="_Toc141438369" w:displacedByCustomXml="next"/>
    <w:sdt>
      <w:sdtPr>
        <w:rPr>
          <w:rFonts w:asciiTheme="minorHAnsi" w:eastAsiaTheme="minorEastAsia" w:hAnsiTheme="minorHAnsi" w:cstheme="minorBidi"/>
          <w:color w:val="auto"/>
          <w:sz w:val="21"/>
          <w:szCs w:val="21"/>
          <w:lang w:val="fr-FR"/>
        </w:rPr>
        <w:id w:val="-183835667"/>
        <w:docPartObj>
          <w:docPartGallery w:val="Table of Contents"/>
          <w:docPartUnique/>
        </w:docPartObj>
      </w:sdtPr>
      <w:sdtEndPr>
        <w:rPr>
          <w:rFonts w:eastAsia="Calibri"/>
        </w:rPr>
      </w:sdtEndPr>
      <w:sdtContent>
        <w:p w14:paraId="2C4B28AD" w14:textId="3BE926E3" w:rsidR="00BA2098" w:rsidRDefault="00BA2098" w:rsidP="00AC1FC1">
          <w:pPr>
            <w:pStyle w:val="Heading1"/>
          </w:pPr>
          <w:r>
            <w:rPr>
              <w:lang w:val="fr-FR"/>
            </w:rPr>
            <w:t>Table des matières</w:t>
          </w:r>
          <w:bookmarkEnd w:id="2"/>
          <w:bookmarkEnd w:id="1"/>
          <w:bookmarkEnd w:id="0"/>
        </w:p>
        <w:p w14:paraId="5CAD2EBF" w14:textId="776A93FE" w:rsidR="001213F1" w:rsidRDefault="00BA2098">
          <w:pPr>
            <w:pStyle w:val="TOC1"/>
            <w:rPr>
              <w:rFonts w:eastAsiaTheme="minorEastAsia"/>
              <w:kern w:val="2"/>
              <w14:ligatures w14:val="standardContextual"/>
            </w:rPr>
          </w:pPr>
          <w:r w:rsidRPr="006739BA">
            <w:rPr>
              <w:sz w:val="21"/>
              <w:szCs w:val="21"/>
            </w:rPr>
            <w:fldChar w:fldCharType="begin"/>
          </w:r>
          <w:r w:rsidRPr="006739BA">
            <w:instrText xml:space="preserve"> TOC \o "1-3" \h \z \u </w:instrText>
          </w:r>
          <w:r w:rsidRPr="006739BA">
            <w:rPr>
              <w:sz w:val="21"/>
              <w:szCs w:val="21"/>
            </w:rPr>
            <w:fldChar w:fldCharType="separate"/>
          </w:r>
          <w:hyperlink w:anchor="_Toc141438369" w:history="1">
            <w:r w:rsidR="001213F1" w:rsidRPr="00C96250">
              <w:rPr>
                <w:rStyle w:val="Hyperlink"/>
              </w:rPr>
              <w:t>1.</w:t>
            </w:r>
            <w:r w:rsidR="001213F1">
              <w:rPr>
                <w:rFonts w:eastAsiaTheme="minorEastAsia"/>
                <w:kern w:val="2"/>
                <w14:ligatures w14:val="standardContextual"/>
              </w:rPr>
              <w:tab/>
            </w:r>
            <w:r w:rsidR="001213F1" w:rsidRPr="00C96250">
              <w:rPr>
                <w:rStyle w:val="Hyperlink"/>
                <w:lang w:val="fr-FR"/>
              </w:rPr>
              <w:t>Table des matières</w:t>
            </w:r>
            <w:r w:rsidR="001213F1">
              <w:rPr>
                <w:webHidden/>
              </w:rPr>
              <w:tab/>
            </w:r>
            <w:r w:rsidR="001213F1">
              <w:rPr>
                <w:webHidden/>
              </w:rPr>
              <w:fldChar w:fldCharType="begin"/>
            </w:r>
            <w:r w:rsidR="001213F1">
              <w:rPr>
                <w:webHidden/>
              </w:rPr>
              <w:instrText xml:space="preserve"> PAGEREF _Toc141438369 \h </w:instrText>
            </w:r>
            <w:r w:rsidR="001213F1">
              <w:rPr>
                <w:webHidden/>
              </w:rPr>
            </w:r>
            <w:r w:rsidR="001213F1">
              <w:rPr>
                <w:webHidden/>
              </w:rPr>
              <w:fldChar w:fldCharType="separate"/>
            </w:r>
            <w:r w:rsidR="00B34479">
              <w:rPr>
                <w:webHidden/>
              </w:rPr>
              <w:t>2</w:t>
            </w:r>
            <w:r w:rsidR="001213F1">
              <w:rPr>
                <w:webHidden/>
              </w:rPr>
              <w:fldChar w:fldCharType="end"/>
            </w:r>
          </w:hyperlink>
        </w:p>
        <w:p w14:paraId="7AE72B54" w14:textId="37DA52F3" w:rsidR="001213F1" w:rsidRDefault="00000000">
          <w:pPr>
            <w:pStyle w:val="TOC1"/>
            <w:rPr>
              <w:rFonts w:eastAsiaTheme="minorEastAsia"/>
              <w:kern w:val="2"/>
              <w14:ligatures w14:val="standardContextual"/>
            </w:rPr>
          </w:pPr>
          <w:hyperlink w:anchor="_Toc141438370" w:history="1">
            <w:r w:rsidR="001213F1" w:rsidRPr="00C96250">
              <w:rPr>
                <w:rStyle w:val="Hyperlink"/>
              </w:rPr>
              <w:t>2.</w:t>
            </w:r>
            <w:r w:rsidR="001213F1">
              <w:rPr>
                <w:rFonts w:eastAsiaTheme="minorEastAsia"/>
                <w:kern w:val="2"/>
                <w14:ligatures w14:val="standardContextual"/>
              </w:rPr>
              <w:tab/>
            </w:r>
            <w:r w:rsidR="001213F1" w:rsidRPr="00C96250">
              <w:rPr>
                <w:rStyle w:val="Hyperlink"/>
              </w:rPr>
              <w:t>Fiche de présentation de l’organisation</w:t>
            </w:r>
            <w:r w:rsidR="001213F1">
              <w:rPr>
                <w:webHidden/>
              </w:rPr>
              <w:tab/>
            </w:r>
            <w:r w:rsidR="001213F1">
              <w:rPr>
                <w:webHidden/>
              </w:rPr>
              <w:fldChar w:fldCharType="begin"/>
            </w:r>
            <w:r w:rsidR="001213F1">
              <w:rPr>
                <w:webHidden/>
              </w:rPr>
              <w:instrText xml:space="preserve"> PAGEREF _Toc141438370 \h </w:instrText>
            </w:r>
            <w:r w:rsidR="001213F1">
              <w:rPr>
                <w:webHidden/>
              </w:rPr>
            </w:r>
            <w:r w:rsidR="001213F1">
              <w:rPr>
                <w:webHidden/>
              </w:rPr>
              <w:fldChar w:fldCharType="separate"/>
            </w:r>
            <w:r w:rsidR="00B34479">
              <w:rPr>
                <w:webHidden/>
              </w:rPr>
              <w:t>2</w:t>
            </w:r>
            <w:r w:rsidR="001213F1">
              <w:rPr>
                <w:webHidden/>
              </w:rPr>
              <w:fldChar w:fldCharType="end"/>
            </w:r>
          </w:hyperlink>
        </w:p>
        <w:p w14:paraId="11761C78" w14:textId="0001093C" w:rsidR="001213F1" w:rsidRDefault="00000000">
          <w:pPr>
            <w:pStyle w:val="TOC1"/>
            <w:rPr>
              <w:rFonts w:eastAsiaTheme="minorEastAsia"/>
              <w:kern w:val="2"/>
              <w14:ligatures w14:val="standardContextual"/>
            </w:rPr>
          </w:pPr>
          <w:hyperlink w:anchor="_Toc141438371" w:history="1">
            <w:r w:rsidR="001213F1" w:rsidRPr="00C96250">
              <w:rPr>
                <w:rStyle w:val="Hyperlink"/>
              </w:rPr>
              <w:t>3.</w:t>
            </w:r>
            <w:r w:rsidR="001213F1">
              <w:rPr>
                <w:rFonts w:eastAsiaTheme="minorEastAsia"/>
                <w:kern w:val="2"/>
                <w14:ligatures w14:val="standardContextual"/>
              </w:rPr>
              <w:tab/>
            </w:r>
            <w:r w:rsidR="001213F1" w:rsidRPr="00C96250">
              <w:rPr>
                <w:rStyle w:val="Hyperlink"/>
              </w:rPr>
              <w:t>Pertinence : motivation de l’action</w:t>
            </w:r>
            <w:r w:rsidR="001213F1">
              <w:rPr>
                <w:webHidden/>
              </w:rPr>
              <w:tab/>
            </w:r>
            <w:r w:rsidR="001213F1">
              <w:rPr>
                <w:webHidden/>
              </w:rPr>
              <w:fldChar w:fldCharType="begin"/>
            </w:r>
            <w:r w:rsidR="001213F1">
              <w:rPr>
                <w:webHidden/>
              </w:rPr>
              <w:instrText xml:space="preserve"> PAGEREF _Toc141438371 \h </w:instrText>
            </w:r>
            <w:r w:rsidR="001213F1">
              <w:rPr>
                <w:webHidden/>
              </w:rPr>
            </w:r>
            <w:r w:rsidR="001213F1">
              <w:rPr>
                <w:webHidden/>
              </w:rPr>
              <w:fldChar w:fldCharType="separate"/>
            </w:r>
            <w:r w:rsidR="00B34479">
              <w:rPr>
                <w:webHidden/>
              </w:rPr>
              <w:t>3</w:t>
            </w:r>
            <w:r w:rsidR="001213F1">
              <w:rPr>
                <w:webHidden/>
              </w:rPr>
              <w:fldChar w:fldCharType="end"/>
            </w:r>
          </w:hyperlink>
        </w:p>
        <w:p w14:paraId="7B2EF13F" w14:textId="246BFBD9" w:rsidR="001213F1" w:rsidRDefault="00000000">
          <w:pPr>
            <w:pStyle w:val="TOC2"/>
            <w:rPr>
              <w:rFonts w:eastAsiaTheme="minorEastAsia"/>
              <w:noProof/>
              <w:kern w:val="2"/>
              <w:sz w:val="22"/>
              <w:szCs w:val="22"/>
              <w14:ligatures w14:val="standardContextual"/>
            </w:rPr>
          </w:pPr>
          <w:hyperlink w:anchor="_Toc141438372" w:history="1">
            <w:r w:rsidR="001213F1" w:rsidRPr="00C96250">
              <w:rPr>
                <w:rStyle w:val="Hyperlink"/>
                <w:noProof/>
              </w:rPr>
              <w:t>3.1.</w:t>
            </w:r>
            <w:r w:rsidR="001213F1">
              <w:rPr>
                <w:rFonts w:eastAsiaTheme="minorEastAsia"/>
                <w:noProof/>
                <w:kern w:val="2"/>
                <w:sz w:val="22"/>
                <w:szCs w:val="22"/>
                <w14:ligatures w14:val="standardContextual"/>
              </w:rPr>
              <w:tab/>
            </w:r>
            <w:r w:rsidR="001213F1" w:rsidRPr="00C96250">
              <w:rPr>
                <w:rStyle w:val="Hyperlink"/>
                <w:noProof/>
              </w:rPr>
              <w:t>L’enjeu de la sécurité alimentaire mondiale</w:t>
            </w:r>
            <w:r w:rsidR="001213F1">
              <w:rPr>
                <w:noProof/>
                <w:webHidden/>
              </w:rPr>
              <w:tab/>
            </w:r>
            <w:r w:rsidR="001213F1">
              <w:rPr>
                <w:noProof/>
                <w:webHidden/>
              </w:rPr>
              <w:fldChar w:fldCharType="begin"/>
            </w:r>
            <w:r w:rsidR="001213F1">
              <w:rPr>
                <w:noProof/>
                <w:webHidden/>
              </w:rPr>
              <w:instrText xml:space="preserve"> PAGEREF _Toc141438372 \h </w:instrText>
            </w:r>
            <w:r w:rsidR="001213F1">
              <w:rPr>
                <w:noProof/>
                <w:webHidden/>
              </w:rPr>
            </w:r>
            <w:r w:rsidR="001213F1">
              <w:rPr>
                <w:noProof/>
                <w:webHidden/>
              </w:rPr>
              <w:fldChar w:fldCharType="separate"/>
            </w:r>
            <w:r w:rsidR="00B34479">
              <w:rPr>
                <w:noProof/>
                <w:webHidden/>
              </w:rPr>
              <w:t>3</w:t>
            </w:r>
            <w:r w:rsidR="001213F1">
              <w:rPr>
                <w:noProof/>
                <w:webHidden/>
              </w:rPr>
              <w:fldChar w:fldCharType="end"/>
            </w:r>
          </w:hyperlink>
        </w:p>
        <w:p w14:paraId="52E9ECEE" w14:textId="71F1258D" w:rsidR="001213F1" w:rsidRDefault="00000000">
          <w:pPr>
            <w:pStyle w:val="TOC2"/>
            <w:rPr>
              <w:rFonts w:eastAsiaTheme="minorEastAsia"/>
              <w:noProof/>
              <w:kern w:val="2"/>
              <w:sz w:val="22"/>
              <w:szCs w:val="22"/>
              <w14:ligatures w14:val="standardContextual"/>
            </w:rPr>
          </w:pPr>
          <w:hyperlink w:anchor="_Toc141438373" w:history="1">
            <w:r w:rsidR="001213F1" w:rsidRPr="00C96250">
              <w:rPr>
                <w:rStyle w:val="Hyperlink"/>
                <w:noProof/>
              </w:rPr>
              <w:t>3.2.</w:t>
            </w:r>
            <w:r w:rsidR="001213F1">
              <w:rPr>
                <w:rFonts w:eastAsiaTheme="minorEastAsia"/>
                <w:noProof/>
                <w:kern w:val="2"/>
                <w:sz w:val="22"/>
                <w:szCs w:val="22"/>
                <w14:ligatures w14:val="standardContextual"/>
              </w:rPr>
              <w:tab/>
            </w:r>
            <w:r w:rsidR="001213F1" w:rsidRPr="00C96250">
              <w:rPr>
                <w:rStyle w:val="Hyperlink"/>
                <w:noProof/>
              </w:rPr>
              <w:t>L’enjeu de quantité</w:t>
            </w:r>
            <w:r w:rsidR="001213F1">
              <w:rPr>
                <w:noProof/>
                <w:webHidden/>
              </w:rPr>
              <w:tab/>
            </w:r>
            <w:r w:rsidR="001213F1">
              <w:rPr>
                <w:noProof/>
                <w:webHidden/>
              </w:rPr>
              <w:fldChar w:fldCharType="begin"/>
            </w:r>
            <w:r w:rsidR="001213F1">
              <w:rPr>
                <w:noProof/>
                <w:webHidden/>
              </w:rPr>
              <w:instrText xml:space="preserve"> PAGEREF _Toc141438373 \h </w:instrText>
            </w:r>
            <w:r w:rsidR="001213F1">
              <w:rPr>
                <w:noProof/>
                <w:webHidden/>
              </w:rPr>
              <w:fldChar w:fldCharType="separate"/>
            </w:r>
            <w:r w:rsidR="00B34479">
              <w:rPr>
                <w:b/>
                <w:bCs/>
                <w:noProof/>
                <w:webHidden/>
                <w:lang w:val="en-US"/>
              </w:rPr>
              <w:t>Error! Bookmark not defined.</w:t>
            </w:r>
            <w:r w:rsidR="001213F1">
              <w:rPr>
                <w:noProof/>
                <w:webHidden/>
              </w:rPr>
              <w:fldChar w:fldCharType="end"/>
            </w:r>
          </w:hyperlink>
        </w:p>
        <w:p w14:paraId="733347CA" w14:textId="0399337B" w:rsidR="001213F1" w:rsidRDefault="00000000">
          <w:pPr>
            <w:pStyle w:val="TOC2"/>
            <w:rPr>
              <w:rFonts w:eastAsiaTheme="minorEastAsia"/>
              <w:noProof/>
              <w:kern w:val="2"/>
              <w:sz w:val="22"/>
              <w:szCs w:val="22"/>
              <w14:ligatures w14:val="standardContextual"/>
            </w:rPr>
          </w:pPr>
          <w:hyperlink w:anchor="_Toc141438374" w:history="1">
            <w:r w:rsidR="001213F1" w:rsidRPr="00C96250">
              <w:rPr>
                <w:rStyle w:val="Hyperlink"/>
                <w:noProof/>
              </w:rPr>
              <w:t>3.3.</w:t>
            </w:r>
            <w:r w:rsidR="001213F1">
              <w:rPr>
                <w:rFonts w:eastAsiaTheme="minorEastAsia"/>
                <w:noProof/>
                <w:kern w:val="2"/>
                <w:sz w:val="22"/>
                <w:szCs w:val="22"/>
                <w14:ligatures w14:val="standardContextual"/>
              </w:rPr>
              <w:tab/>
            </w:r>
            <w:r w:rsidR="001213F1" w:rsidRPr="00C96250">
              <w:rPr>
                <w:rStyle w:val="Hyperlink"/>
                <w:noProof/>
              </w:rPr>
              <w:t>L’enjeu de la qualité : soutien à l’agroécologie et synergies</w:t>
            </w:r>
            <w:r w:rsidR="001213F1">
              <w:rPr>
                <w:noProof/>
                <w:webHidden/>
              </w:rPr>
              <w:tab/>
            </w:r>
            <w:r w:rsidR="001213F1">
              <w:rPr>
                <w:noProof/>
                <w:webHidden/>
              </w:rPr>
              <w:fldChar w:fldCharType="begin"/>
            </w:r>
            <w:r w:rsidR="001213F1">
              <w:rPr>
                <w:noProof/>
                <w:webHidden/>
              </w:rPr>
              <w:instrText xml:space="preserve"> PAGEREF _Toc141438374 \h </w:instrText>
            </w:r>
            <w:r w:rsidR="001213F1">
              <w:rPr>
                <w:noProof/>
                <w:webHidden/>
              </w:rPr>
              <w:fldChar w:fldCharType="separate"/>
            </w:r>
            <w:r w:rsidR="00B34479">
              <w:rPr>
                <w:b/>
                <w:bCs/>
                <w:noProof/>
                <w:webHidden/>
                <w:lang w:val="en-US"/>
              </w:rPr>
              <w:t>Error! Bookmark not defined.</w:t>
            </w:r>
            <w:r w:rsidR="001213F1">
              <w:rPr>
                <w:noProof/>
                <w:webHidden/>
              </w:rPr>
              <w:fldChar w:fldCharType="end"/>
            </w:r>
          </w:hyperlink>
        </w:p>
        <w:p w14:paraId="11560EB7" w14:textId="0F305DA4" w:rsidR="001213F1" w:rsidRDefault="00000000">
          <w:pPr>
            <w:pStyle w:val="TOC1"/>
            <w:rPr>
              <w:rFonts w:eastAsiaTheme="minorEastAsia"/>
              <w:kern w:val="2"/>
              <w14:ligatures w14:val="standardContextual"/>
            </w:rPr>
          </w:pPr>
          <w:hyperlink w:anchor="_Toc141438375" w:history="1">
            <w:r w:rsidR="001213F1" w:rsidRPr="00C96250">
              <w:rPr>
                <w:rStyle w:val="Hyperlink"/>
              </w:rPr>
              <w:t>4.</w:t>
            </w:r>
            <w:r w:rsidR="001213F1">
              <w:rPr>
                <w:rFonts w:eastAsiaTheme="minorEastAsia"/>
                <w:kern w:val="2"/>
                <w14:ligatures w14:val="standardContextual"/>
              </w:rPr>
              <w:tab/>
            </w:r>
            <w:r w:rsidR="001213F1" w:rsidRPr="00C96250">
              <w:rPr>
                <w:rStyle w:val="Hyperlink"/>
              </w:rPr>
              <w:t>Stratégie d’action</w:t>
            </w:r>
            <w:r w:rsidR="001213F1">
              <w:rPr>
                <w:webHidden/>
              </w:rPr>
              <w:tab/>
            </w:r>
            <w:r w:rsidR="001213F1">
              <w:rPr>
                <w:webHidden/>
              </w:rPr>
              <w:fldChar w:fldCharType="begin"/>
            </w:r>
            <w:r w:rsidR="001213F1">
              <w:rPr>
                <w:webHidden/>
              </w:rPr>
              <w:instrText xml:space="preserve"> PAGEREF _Toc141438375 \h </w:instrText>
            </w:r>
            <w:r w:rsidR="001213F1">
              <w:rPr>
                <w:webHidden/>
              </w:rPr>
            </w:r>
            <w:r w:rsidR="001213F1">
              <w:rPr>
                <w:webHidden/>
              </w:rPr>
              <w:fldChar w:fldCharType="separate"/>
            </w:r>
            <w:r w:rsidR="00B34479">
              <w:rPr>
                <w:webHidden/>
              </w:rPr>
              <w:t>4</w:t>
            </w:r>
            <w:r w:rsidR="001213F1">
              <w:rPr>
                <w:webHidden/>
              </w:rPr>
              <w:fldChar w:fldCharType="end"/>
            </w:r>
          </w:hyperlink>
        </w:p>
        <w:p w14:paraId="2D7F3F8C" w14:textId="03168E29" w:rsidR="001213F1" w:rsidRDefault="00000000">
          <w:pPr>
            <w:pStyle w:val="TOC1"/>
            <w:rPr>
              <w:rFonts w:eastAsiaTheme="minorEastAsia"/>
              <w:kern w:val="2"/>
              <w14:ligatures w14:val="standardContextual"/>
            </w:rPr>
          </w:pPr>
          <w:hyperlink w:anchor="_Toc141438376" w:history="1">
            <w:r w:rsidR="001213F1" w:rsidRPr="00C96250">
              <w:rPr>
                <w:rStyle w:val="Hyperlink"/>
              </w:rPr>
              <w:t>5.</w:t>
            </w:r>
            <w:r w:rsidR="001213F1">
              <w:rPr>
                <w:rFonts w:eastAsiaTheme="minorEastAsia"/>
                <w:kern w:val="2"/>
                <w14:ligatures w14:val="standardContextual"/>
              </w:rPr>
              <w:tab/>
            </w:r>
            <w:r w:rsidR="001213F1" w:rsidRPr="00C96250">
              <w:rPr>
                <w:rStyle w:val="Hyperlink"/>
                <w:lang w:eastAsia="fr-FR"/>
              </w:rPr>
              <w:t>Cadre logique</w:t>
            </w:r>
            <w:r w:rsidR="001213F1">
              <w:rPr>
                <w:webHidden/>
              </w:rPr>
              <w:tab/>
            </w:r>
            <w:r w:rsidR="001213F1">
              <w:rPr>
                <w:webHidden/>
              </w:rPr>
              <w:fldChar w:fldCharType="begin"/>
            </w:r>
            <w:r w:rsidR="001213F1">
              <w:rPr>
                <w:webHidden/>
              </w:rPr>
              <w:instrText xml:space="preserve"> PAGEREF _Toc141438376 \h </w:instrText>
            </w:r>
            <w:r w:rsidR="001213F1">
              <w:rPr>
                <w:webHidden/>
              </w:rPr>
            </w:r>
            <w:r w:rsidR="001213F1">
              <w:rPr>
                <w:webHidden/>
              </w:rPr>
              <w:fldChar w:fldCharType="separate"/>
            </w:r>
            <w:r w:rsidR="00B34479">
              <w:rPr>
                <w:webHidden/>
              </w:rPr>
              <w:t>6</w:t>
            </w:r>
            <w:r w:rsidR="001213F1">
              <w:rPr>
                <w:webHidden/>
              </w:rPr>
              <w:fldChar w:fldCharType="end"/>
            </w:r>
          </w:hyperlink>
        </w:p>
        <w:p w14:paraId="05B5B920" w14:textId="43247D76" w:rsidR="001213F1" w:rsidRDefault="00000000">
          <w:pPr>
            <w:pStyle w:val="TOC1"/>
            <w:rPr>
              <w:rFonts w:eastAsiaTheme="minorEastAsia"/>
              <w:kern w:val="2"/>
              <w14:ligatures w14:val="standardContextual"/>
            </w:rPr>
          </w:pPr>
          <w:hyperlink w:anchor="_Toc141438377" w:history="1">
            <w:r w:rsidR="001213F1" w:rsidRPr="00C96250">
              <w:rPr>
                <w:rStyle w:val="Hyperlink"/>
              </w:rPr>
              <w:t>6.</w:t>
            </w:r>
            <w:r w:rsidR="001213F1">
              <w:rPr>
                <w:rFonts w:eastAsiaTheme="minorEastAsia"/>
                <w:kern w:val="2"/>
                <w14:ligatures w14:val="standardContextual"/>
              </w:rPr>
              <w:tab/>
            </w:r>
            <w:r w:rsidR="001213F1" w:rsidRPr="00C96250">
              <w:rPr>
                <w:rStyle w:val="Hyperlink"/>
              </w:rPr>
              <w:t>Durabilité &amp; gestion des risques</w:t>
            </w:r>
            <w:r w:rsidR="001213F1">
              <w:rPr>
                <w:webHidden/>
              </w:rPr>
              <w:tab/>
            </w:r>
            <w:r w:rsidR="001213F1">
              <w:rPr>
                <w:webHidden/>
              </w:rPr>
              <w:fldChar w:fldCharType="begin"/>
            </w:r>
            <w:r w:rsidR="001213F1">
              <w:rPr>
                <w:webHidden/>
              </w:rPr>
              <w:instrText xml:space="preserve"> PAGEREF _Toc141438377 \h </w:instrText>
            </w:r>
            <w:r w:rsidR="001213F1">
              <w:rPr>
                <w:webHidden/>
              </w:rPr>
            </w:r>
            <w:r w:rsidR="001213F1">
              <w:rPr>
                <w:webHidden/>
              </w:rPr>
              <w:fldChar w:fldCharType="separate"/>
            </w:r>
            <w:r w:rsidR="00B34479">
              <w:rPr>
                <w:webHidden/>
              </w:rPr>
              <w:t>6</w:t>
            </w:r>
            <w:r w:rsidR="001213F1">
              <w:rPr>
                <w:webHidden/>
              </w:rPr>
              <w:fldChar w:fldCharType="end"/>
            </w:r>
          </w:hyperlink>
        </w:p>
        <w:p w14:paraId="278BBD3E" w14:textId="68615E4B" w:rsidR="001213F1" w:rsidRDefault="00000000">
          <w:pPr>
            <w:pStyle w:val="TOC1"/>
            <w:rPr>
              <w:rFonts w:eastAsiaTheme="minorEastAsia"/>
              <w:kern w:val="2"/>
              <w14:ligatures w14:val="standardContextual"/>
            </w:rPr>
          </w:pPr>
          <w:hyperlink w:anchor="_Toc141438378" w:history="1">
            <w:r w:rsidR="001213F1" w:rsidRPr="00C96250">
              <w:rPr>
                <w:rStyle w:val="Hyperlink"/>
                <w:lang w:val="fr-FR" w:eastAsia="fr-FR"/>
              </w:rPr>
              <w:t>7.</w:t>
            </w:r>
            <w:r w:rsidR="001213F1">
              <w:rPr>
                <w:rFonts w:eastAsiaTheme="minorEastAsia"/>
                <w:kern w:val="2"/>
                <w14:ligatures w14:val="standardContextual"/>
              </w:rPr>
              <w:tab/>
            </w:r>
            <w:r w:rsidR="001213F1" w:rsidRPr="00C96250">
              <w:rPr>
                <w:rStyle w:val="Hyperlink"/>
                <w:lang w:val="fr-FR" w:eastAsia="fr-FR"/>
              </w:rPr>
              <w:t>Chronogramme du projet</w:t>
            </w:r>
            <w:r w:rsidR="001213F1">
              <w:rPr>
                <w:webHidden/>
              </w:rPr>
              <w:tab/>
            </w:r>
            <w:r w:rsidR="001213F1">
              <w:rPr>
                <w:webHidden/>
              </w:rPr>
              <w:fldChar w:fldCharType="begin"/>
            </w:r>
            <w:r w:rsidR="001213F1">
              <w:rPr>
                <w:webHidden/>
              </w:rPr>
              <w:instrText xml:space="preserve"> PAGEREF _Toc141438378 \h </w:instrText>
            </w:r>
            <w:r w:rsidR="001213F1">
              <w:rPr>
                <w:webHidden/>
              </w:rPr>
            </w:r>
            <w:r w:rsidR="001213F1">
              <w:rPr>
                <w:webHidden/>
              </w:rPr>
              <w:fldChar w:fldCharType="separate"/>
            </w:r>
            <w:r w:rsidR="00B34479">
              <w:rPr>
                <w:webHidden/>
              </w:rPr>
              <w:t>7</w:t>
            </w:r>
            <w:r w:rsidR="001213F1">
              <w:rPr>
                <w:webHidden/>
              </w:rPr>
              <w:fldChar w:fldCharType="end"/>
            </w:r>
          </w:hyperlink>
        </w:p>
        <w:p w14:paraId="36E7CB57" w14:textId="0423AC58" w:rsidR="001213F1" w:rsidRDefault="00000000">
          <w:pPr>
            <w:pStyle w:val="TOC1"/>
            <w:rPr>
              <w:rFonts w:eastAsiaTheme="minorEastAsia"/>
              <w:kern w:val="2"/>
              <w14:ligatures w14:val="standardContextual"/>
            </w:rPr>
          </w:pPr>
          <w:hyperlink w:anchor="_Toc141438379" w:history="1">
            <w:r w:rsidR="001213F1" w:rsidRPr="00C96250">
              <w:rPr>
                <w:rStyle w:val="Hyperlink"/>
                <w:lang w:eastAsia="fr-FR"/>
              </w:rPr>
              <w:t>8.</w:t>
            </w:r>
            <w:r w:rsidR="001213F1">
              <w:rPr>
                <w:rFonts w:eastAsiaTheme="minorEastAsia"/>
                <w:kern w:val="2"/>
                <w14:ligatures w14:val="standardContextual"/>
              </w:rPr>
              <w:tab/>
            </w:r>
            <w:r w:rsidR="001213F1" w:rsidRPr="00C96250">
              <w:rPr>
                <w:rStyle w:val="Hyperlink"/>
                <w:lang w:eastAsia="fr-FR"/>
              </w:rPr>
              <w:t>Budget</w:t>
            </w:r>
            <w:r w:rsidR="001213F1">
              <w:rPr>
                <w:webHidden/>
              </w:rPr>
              <w:tab/>
            </w:r>
            <w:r w:rsidR="001213F1">
              <w:rPr>
                <w:webHidden/>
              </w:rPr>
              <w:fldChar w:fldCharType="begin"/>
            </w:r>
            <w:r w:rsidR="001213F1">
              <w:rPr>
                <w:webHidden/>
              </w:rPr>
              <w:instrText xml:space="preserve"> PAGEREF _Toc141438379 \h </w:instrText>
            </w:r>
            <w:r w:rsidR="001213F1">
              <w:rPr>
                <w:webHidden/>
              </w:rPr>
            </w:r>
            <w:r w:rsidR="001213F1">
              <w:rPr>
                <w:webHidden/>
              </w:rPr>
              <w:fldChar w:fldCharType="separate"/>
            </w:r>
            <w:r w:rsidR="00B34479">
              <w:rPr>
                <w:webHidden/>
              </w:rPr>
              <w:t>7</w:t>
            </w:r>
            <w:r w:rsidR="001213F1">
              <w:rPr>
                <w:webHidden/>
              </w:rPr>
              <w:fldChar w:fldCharType="end"/>
            </w:r>
          </w:hyperlink>
        </w:p>
        <w:p w14:paraId="5A643DAD" w14:textId="75709DF2" w:rsidR="00BA2098" w:rsidRDefault="00BA2098" w:rsidP="00AC1FC1">
          <w:r w:rsidRPr="006739BA">
            <w:rPr>
              <w:sz w:val="18"/>
              <w:szCs w:val="18"/>
              <w:lang w:val="fr-FR"/>
            </w:rPr>
            <w:fldChar w:fldCharType="end"/>
          </w:r>
        </w:p>
      </w:sdtContent>
    </w:sdt>
    <w:p w14:paraId="63BE910B" w14:textId="6D0B14F5" w:rsidR="00733D5A" w:rsidRDefault="009C1504" w:rsidP="00AC1FC1">
      <w:pPr>
        <w:pStyle w:val="Heading1"/>
      </w:pPr>
      <w:bookmarkStart w:id="3" w:name="_Toc136943588"/>
      <w:bookmarkStart w:id="4" w:name="_Toc141438370"/>
      <w:r>
        <w:t>Fiche de présentation de l’o</w:t>
      </w:r>
      <w:r w:rsidR="0074742E">
        <w:t>rganisation</w:t>
      </w:r>
      <w:bookmarkEnd w:id="3"/>
      <w:bookmarkEnd w:id="4"/>
      <w:r w:rsidR="0074742E">
        <w:t xml:space="preserve">  </w:t>
      </w:r>
    </w:p>
    <w:p w14:paraId="20CF35AE" w14:textId="77777777" w:rsidR="00590824" w:rsidRPr="002621CE" w:rsidRDefault="00590824" w:rsidP="00AC1FC1"/>
    <w:tbl>
      <w:tblPr>
        <w:tblW w:w="0" w:type="auto"/>
        <w:tblInd w:w="-5" w:type="dxa"/>
        <w:tblLayout w:type="fixed"/>
        <w:tblLook w:val="0000" w:firstRow="0" w:lastRow="0" w:firstColumn="0" w:lastColumn="0" w:noHBand="0" w:noVBand="0"/>
      </w:tblPr>
      <w:tblGrid>
        <w:gridCol w:w="3510"/>
        <w:gridCol w:w="6238"/>
      </w:tblGrid>
      <w:tr w:rsidR="00733D5A" w14:paraId="686548F3" w14:textId="77777777">
        <w:trPr>
          <w:trHeight w:val="667"/>
        </w:trPr>
        <w:tc>
          <w:tcPr>
            <w:tcW w:w="3510" w:type="dxa"/>
            <w:tcBorders>
              <w:top w:val="single" w:sz="4" w:space="0" w:color="000000"/>
              <w:left w:val="single" w:sz="4" w:space="0" w:color="000000"/>
              <w:bottom w:val="single" w:sz="4" w:space="0" w:color="000000"/>
            </w:tcBorders>
            <w:shd w:val="clear" w:color="auto" w:fill="auto"/>
          </w:tcPr>
          <w:p w14:paraId="484B1027" w14:textId="77777777" w:rsidR="00733D5A" w:rsidRDefault="00733D5A" w:rsidP="00AC1FC1">
            <w:r>
              <w:rPr>
                <w:lang w:val="fr-FR"/>
              </w:rPr>
              <w:t>Nom de l’</w:t>
            </w:r>
            <w:r w:rsidR="006E68E9">
              <w:rPr>
                <w:lang w:val="fr-FR"/>
              </w:rPr>
              <w:t>ONG</w:t>
            </w:r>
            <w:r w:rsidR="00752A99">
              <w:rPr>
                <w:lang w:val="fr-FR"/>
              </w:rPr>
              <w:t xml:space="preserve"> </w:t>
            </w:r>
            <w:r>
              <w:rPr>
                <w:lang w:val="fr-FR"/>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2B78E00" w14:textId="77777777" w:rsidR="00733D5A" w:rsidRDefault="00733D5A" w:rsidP="00AC1FC1">
            <w:r>
              <w:rPr>
                <w:lang w:val="fr-FR"/>
              </w:rPr>
              <w:t>Centre national de coopération au développement</w:t>
            </w:r>
          </w:p>
          <w:p w14:paraId="56CF43B5" w14:textId="77777777" w:rsidR="00733D5A" w:rsidRDefault="00733D5A" w:rsidP="00AC1FC1">
            <w:r>
              <w:rPr>
                <w:lang w:val="fr-FR"/>
              </w:rPr>
              <w:t>(CNCD-11.11.11</w:t>
            </w:r>
            <w:r w:rsidR="002621CE">
              <w:rPr>
                <w:lang w:val="fr-FR"/>
              </w:rPr>
              <w:t>)</w:t>
            </w:r>
          </w:p>
        </w:tc>
      </w:tr>
      <w:tr w:rsidR="00733D5A" w14:paraId="0734B370" w14:textId="77777777">
        <w:trPr>
          <w:trHeight w:val="898"/>
        </w:trPr>
        <w:tc>
          <w:tcPr>
            <w:tcW w:w="3510" w:type="dxa"/>
            <w:tcBorders>
              <w:top w:val="single" w:sz="4" w:space="0" w:color="000000"/>
              <w:left w:val="single" w:sz="4" w:space="0" w:color="000000"/>
              <w:bottom w:val="single" w:sz="4" w:space="0" w:color="000000"/>
            </w:tcBorders>
            <w:shd w:val="clear" w:color="auto" w:fill="auto"/>
          </w:tcPr>
          <w:p w14:paraId="10AC8D17" w14:textId="77777777" w:rsidR="00733D5A" w:rsidRDefault="00733D5A" w:rsidP="00AC1FC1">
            <w:r>
              <w:rPr>
                <w:lang w:val="fr-FR"/>
              </w:rPr>
              <w:t xml:space="preserve">Adresse officielle : </w:t>
            </w:r>
          </w:p>
          <w:p w14:paraId="46AD53AB" w14:textId="77777777" w:rsidR="00733D5A" w:rsidRDefault="00733D5A" w:rsidP="00AC1FC1">
            <w:r>
              <w:rPr>
                <w:lang w:val="fr-FR"/>
              </w:rPr>
              <w:t xml:space="preserve">Téléphone : </w:t>
            </w:r>
          </w:p>
          <w:p w14:paraId="026F9653" w14:textId="77777777" w:rsidR="00733D5A" w:rsidRDefault="00733D5A" w:rsidP="00AC1FC1">
            <w:r>
              <w:rPr>
                <w:lang w:val="fr-FR"/>
              </w:rPr>
              <w:t>Messagerie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DE6A168" w14:textId="77777777" w:rsidR="00733D5A" w:rsidRDefault="00733D5A" w:rsidP="00AC1FC1">
            <w:r>
              <w:rPr>
                <w:lang w:val="fr-FR"/>
              </w:rPr>
              <w:t>Quai du commerce, 9 1000 Bruxelles - Belgique</w:t>
            </w:r>
          </w:p>
          <w:p w14:paraId="63CACF8C" w14:textId="77777777" w:rsidR="00733D5A" w:rsidRDefault="00733D5A" w:rsidP="00AC1FC1">
            <w:r>
              <w:rPr>
                <w:lang w:val="fr-FR"/>
              </w:rPr>
              <w:t>00 32 (0) 2 250.12.30</w:t>
            </w:r>
          </w:p>
          <w:p w14:paraId="76892A9D" w14:textId="77777777" w:rsidR="00733D5A" w:rsidRDefault="00000000" w:rsidP="00AC1FC1">
            <w:pPr>
              <w:rPr>
                <w:rFonts w:ascii="Arial" w:eastAsia="Batang" w:hAnsi="Arial"/>
                <w:bCs/>
                <w:sz w:val="24"/>
                <w:szCs w:val="24"/>
                <w:lang w:val="fr-FR"/>
              </w:rPr>
            </w:pPr>
            <w:hyperlink r:id="rId9" w:history="1">
              <w:r w:rsidR="00733D5A">
                <w:rPr>
                  <w:rStyle w:val="Hyperlink"/>
                  <w:rFonts w:ascii="Arial" w:eastAsia="Batang" w:hAnsi="Arial"/>
                  <w:bCs/>
                  <w:color w:val="auto"/>
                  <w:sz w:val="24"/>
                  <w:szCs w:val="24"/>
                  <w:lang w:val="fr-FR"/>
                </w:rPr>
                <w:t>cncd@cncd.be</w:t>
              </w:r>
            </w:hyperlink>
          </w:p>
        </w:tc>
      </w:tr>
      <w:tr w:rsidR="00733D5A" w14:paraId="30F4A6CA" w14:textId="77777777">
        <w:trPr>
          <w:trHeight w:val="484"/>
        </w:trPr>
        <w:tc>
          <w:tcPr>
            <w:tcW w:w="3510" w:type="dxa"/>
            <w:tcBorders>
              <w:top w:val="single" w:sz="4" w:space="0" w:color="000000"/>
              <w:left w:val="single" w:sz="4" w:space="0" w:color="000000"/>
              <w:bottom w:val="single" w:sz="4" w:space="0" w:color="000000"/>
            </w:tcBorders>
            <w:shd w:val="clear" w:color="auto" w:fill="auto"/>
          </w:tcPr>
          <w:p w14:paraId="0BD48078" w14:textId="77777777" w:rsidR="00733D5A" w:rsidRDefault="00733D5A" w:rsidP="00AC1FC1">
            <w:r>
              <w:rPr>
                <w:lang w:val="fr-FR"/>
              </w:rPr>
              <w:t>Nom et nationalité de directeur principal</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2513895" w14:textId="77777777" w:rsidR="00733D5A" w:rsidRDefault="00733D5A" w:rsidP="00AC1FC1">
            <w:r>
              <w:rPr>
                <w:lang w:val="fr-FR"/>
              </w:rPr>
              <w:t>Arnaud Zacharie, Belge</w:t>
            </w:r>
          </w:p>
        </w:tc>
      </w:tr>
      <w:tr w:rsidR="00733D5A" w14:paraId="4BCA2301" w14:textId="77777777">
        <w:trPr>
          <w:trHeight w:val="484"/>
        </w:trPr>
        <w:tc>
          <w:tcPr>
            <w:tcW w:w="3510" w:type="dxa"/>
            <w:tcBorders>
              <w:top w:val="single" w:sz="4" w:space="0" w:color="000000"/>
              <w:left w:val="single" w:sz="4" w:space="0" w:color="000000"/>
              <w:bottom w:val="single" w:sz="4" w:space="0" w:color="000000"/>
            </w:tcBorders>
            <w:shd w:val="clear" w:color="auto" w:fill="auto"/>
          </w:tcPr>
          <w:p w14:paraId="34AF5432" w14:textId="77777777" w:rsidR="00733D5A" w:rsidRDefault="00733D5A" w:rsidP="00AC1FC1">
            <w:r>
              <w:rPr>
                <w:lang w:val="fr-FR"/>
              </w:rPr>
              <w:t>Personne de contact pour le projet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5AC3D35" w14:textId="77777777" w:rsidR="00733D5A" w:rsidRDefault="00A17C94" w:rsidP="00AC1FC1">
            <w:pPr>
              <w:rPr>
                <w:lang w:val="fr-FR"/>
              </w:rPr>
            </w:pPr>
            <w:r>
              <w:rPr>
                <w:lang w:val="fr-FR"/>
              </w:rPr>
              <w:t>Nicolas Van Nuffel</w:t>
            </w:r>
          </w:p>
          <w:p w14:paraId="2112ADB0" w14:textId="77777777" w:rsidR="00A17C94" w:rsidRDefault="00A17C94" w:rsidP="00AC1FC1">
            <w:pPr>
              <w:rPr>
                <w:lang w:val="fr-FR"/>
              </w:rPr>
            </w:pPr>
            <w:r>
              <w:rPr>
                <w:lang w:val="fr-FR"/>
              </w:rPr>
              <w:t>Responsable du département de plaidoyer</w:t>
            </w:r>
          </w:p>
          <w:p w14:paraId="5145587C" w14:textId="129EFFED" w:rsidR="00A17C94" w:rsidRDefault="00000000" w:rsidP="00AC1FC1">
            <w:pPr>
              <w:rPr>
                <w:rFonts w:ascii="Arial" w:eastAsia="Batang" w:hAnsi="Arial"/>
                <w:bCs/>
                <w:sz w:val="24"/>
                <w:szCs w:val="24"/>
                <w:lang w:val="fr-FR"/>
              </w:rPr>
            </w:pPr>
            <w:hyperlink r:id="rId10" w:history="1">
              <w:r w:rsidR="00A17C94" w:rsidRPr="005F4929">
                <w:rPr>
                  <w:rStyle w:val="Hyperlink"/>
                  <w:rFonts w:ascii="Arial" w:eastAsia="Batang" w:hAnsi="Arial"/>
                  <w:bCs/>
                  <w:sz w:val="24"/>
                  <w:szCs w:val="24"/>
                  <w:lang w:val="fr-FR"/>
                </w:rPr>
                <w:t>nicolas.vannuffel@cncd.be</w:t>
              </w:r>
            </w:hyperlink>
          </w:p>
          <w:p w14:paraId="385263C4" w14:textId="75638207" w:rsidR="00A17C94" w:rsidRDefault="00A17C94" w:rsidP="00AC1FC1">
            <w:r>
              <w:rPr>
                <w:lang w:val="fr-FR"/>
              </w:rPr>
              <w:t>+32 485 649 104</w:t>
            </w:r>
          </w:p>
        </w:tc>
      </w:tr>
      <w:tr w:rsidR="00733D5A" w14:paraId="25DB4089" w14:textId="77777777">
        <w:trPr>
          <w:trHeight w:val="335"/>
        </w:trPr>
        <w:tc>
          <w:tcPr>
            <w:tcW w:w="3510" w:type="dxa"/>
            <w:tcBorders>
              <w:top w:val="single" w:sz="4" w:space="0" w:color="000000"/>
              <w:left w:val="single" w:sz="4" w:space="0" w:color="000000"/>
              <w:bottom w:val="single" w:sz="4" w:space="0" w:color="000000"/>
            </w:tcBorders>
            <w:shd w:val="clear" w:color="auto" w:fill="auto"/>
          </w:tcPr>
          <w:p w14:paraId="24ADBE2C" w14:textId="77777777" w:rsidR="00733D5A" w:rsidRDefault="00733D5A" w:rsidP="00AC1FC1">
            <w:r>
              <w:rPr>
                <w:lang w:val="fr-FR"/>
              </w:rPr>
              <w:t>Type de l’Organisation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8656B89" w14:textId="77701D43" w:rsidR="00733D5A" w:rsidRDefault="00733D5A" w:rsidP="00AC1FC1">
            <w:r>
              <w:rPr>
                <w:lang w:val="fr-FR"/>
              </w:rPr>
              <w:t xml:space="preserve">Association </w:t>
            </w:r>
            <w:r w:rsidR="00DD17E7">
              <w:rPr>
                <w:lang w:val="fr-FR"/>
              </w:rPr>
              <w:t>s</w:t>
            </w:r>
            <w:r>
              <w:rPr>
                <w:lang w:val="fr-FR"/>
              </w:rPr>
              <w:t xml:space="preserve">ans </w:t>
            </w:r>
            <w:r w:rsidR="00DD17E7">
              <w:rPr>
                <w:lang w:val="fr-FR"/>
              </w:rPr>
              <w:t>b</w:t>
            </w:r>
            <w:r>
              <w:rPr>
                <w:lang w:val="fr-FR"/>
              </w:rPr>
              <w:t xml:space="preserve">ut </w:t>
            </w:r>
            <w:r w:rsidR="00DD17E7">
              <w:rPr>
                <w:lang w:val="fr-FR"/>
              </w:rPr>
              <w:t>l</w:t>
            </w:r>
            <w:r>
              <w:rPr>
                <w:lang w:val="fr-FR"/>
              </w:rPr>
              <w:t>ucratif (ASBL), accréditée ONG</w:t>
            </w:r>
          </w:p>
        </w:tc>
      </w:tr>
      <w:tr w:rsidR="00733D5A" w14:paraId="6B370E71" w14:textId="77777777">
        <w:trPr>
          <w:trHeight w:val="376"/>
        </w:trPr>
        <w:tc>
          <w:tcPr>
            <w:tcW w:w="3510" w:type="dxa"/>
            <w:tcBorders>
              <w:top w:val="single" w:sz="4" w:space="0" w:color="000000"/>
              <w:left w:val="single" w:sz="4" w:space="0" w:color="000000"/>
              <w:bottom w:val="single" w:sz="4" w:space="0" w:color="000000"/>
            </w:tcBorders>
            <w:shd w:val="clear" w:color="auto" w:fill="auto"/>
          </w:tcPr>
          <w:p w14:paraId="67479279" w14:textId="77777777" w:rsidR="00733D5A" w:rsidRDefault="00733D5A" w:rsidP="00AC1FC1">
            <w:r>
              <w:rPr>
                <w:lang w:val="fr-FR"/>
              </w:rPr>
              <w:t xml:space="preserve">Nationalité de l’Organisation :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FCB0978" w14:textId="77777777" w:rsidR="00733D5A" w:rsidRDefault="00733D5A" w:rsidP="00AC1FC1">
            <w:r>
              <w:rPr>
                <w:lang w:val="fr-FR"/>
              </w:rPr>
              <w:t>Belgique</w:t>
            </w:r>
          </w:p>
        </w:tc>
      </w:tr>
    </w:tbl>
    <w:p w14:paraId="7B608822" w14:textId="77777777" w:rsidR="00892431" w:rsidRDefault="00892431" w:rsidP="00892431">
      <w:bookmarkStart w:id="5" w:name="_Toc136943589"/>
      <w:bookmarkStart w:id="6" w:name="_Toc141438371"/>
    </w:p>
    <w:p w14:paraId="324589EF" w14:textId="77777777" w:rsidR="00892431" w:rsidRPr="00892431" w:rsidRDefault="00892431" w:rsidP="00892431"/>
    <w:p w14:paraId="3C1B71E3" w14:textId="77777777" w:rsidR="00892431" w:rsidRDefault="00892431">
      <w:pPr>
        <w:jc w:val="left"/>
        <w:rPr>
          <w:rFonts w:asciiTheme="majorHAnsi" w:eastAsia="Batang" w:hAnsiTheme="majorHAnsi" w:cstheme="majorBidi"/>
          <w:color w:val="3E762A" w:themeColor="accent1" w:themeShade="BF"/>
          <w:sz w:val="36"/>
          <w:szCs w:val="36"/>
        </w:rPr>
      </w:pPr>
      <w:r>
        <w:br w:type="page"/>
      </w:r>
    </w:p>
    <w:p w14:paraId="65B283B5" w14:textId="415384D3" w:rsidR="00906FE1" w:rsidRDefault="001C5E80" w:rsidP="00AC1FC1">
      <w:pPr>
        <w:pStyle w:val="Heading1"/>
      </w:pPr>
      <w:r>
        <w:lastRenderedPageBreak/>
        <w:t>P</w:t>
      </w:r>
      <w:r w:rsidR="00906FE1">
        <w:t>ertinence : motivation de l’action</w:t>
      </w:r>
      <w:bookmarkEnd w:id="5"/>
      <w:bookmarkEnd w:id="6"/>
    </w:p>
    <w:p w14:paraId="41570E48" w14:textId="5C710F14" w:rsidR="004C1C7F" w:rsidRPr="004C1C7F" w:rsidRDefault="004C1C7F" w:rsidP="004C1C7F">
      <w:pPr>
        <w:pStyle w:val="Heading2"/>
      </w:pPr>
      <w:bookmarkStart w:id="7" w:name="_Toc141438372"/>
      <w:r>
        <w:t>L’enjeu de la sécurité alimentaire mondiale</w:t>
      </w:r>
      <w:bookmarkEnd w:id="7"/>
      <w:r>
        <w:t xml:space="preserve"> </w:t>
      </w:r>
    </w:p>
    <w:p w14:paraId="21392EAE" w14:textId="170AAC96" w:rsidR="00AC1FC1" w:rsidRPr="00AC1FC1" w:rsidRDefault="00AC1FC1" w:rsidP="00AC1FC1">
      <w:r w:rsidRPr="00AC1FC1">
        <w:t>Depuis les années 1960, la production alimentaire dépasse les besoins de l’Humanité. C’est le paradoxe de la faim. Par ailleurs, pour renforcer le paradoxe, 80 % des personnes qui souffrent de la faim sont des agriculteurs ou des pêcheurs et leurs familles</w:t>
      </w:r>
      <w:r w:rsidRPr="00AB265F">
        <w:rPr>
          <w:rStyle w:val="FootnoteAnchor"/>
        </w:rPr>
        <w:footnoteReference w:id="1"/>
      </w:r>
      <w:r w:rsidRPr="00AC1FC1">
        <w:t>. Précisons également qu’en 2021, il y avait 150 millions de femmes en plus que d’hommes en situation d’insécurité alimentaire</w:t>
      </w:r>
      <w:r w:rsidRPr="00AB265F">
        <w:rPr>
          <w:rStyle w:val="FootnoteAnchor"/>
        </w:rPr>
        <w:footnoteReference w:id="2"/>
      </w:r>
      <w:r w:rsidRPr="00AC1FC1">
        <w:t xml:space="preserve">. </w:t>
      </w:r>
    </w:p>
    <w:p w14:paraId="29C08FDF" w14:textId="77777777" w:rsidR="00AC1FC1" w:rsidRPr="00AC1FC1" w:rsidRDefault="00AC1FC1" w:rsidP="00AC1FC1">
      <w:r w:rsidRPr="00AC1FC1">
        <w:t xml:space="preserve">Le concept de paradoxe de la faim n’est pas nouveau. Il est déjà formulé en 1991 dans le Washington Post à une époque où la lutte contre la faim stagne après des années d’amélioration, alors que le monde ne traverse pas de situation de sous-production. Autre constat, jamais autant de </w:t>
      </w:r>
      <w:r w:rsidRPr="00AB265F">
        <w:rPr>
          <w:rStyle w:val="FootnoteAnchor"/>
          <w:vertAlign w:val="baseline"/>
        </w:rPr>
        <w:t>personnes</w:t>
      </w:r>
      <w:r w:rsidRPr="00AC1FC1">
        <w:t xml:space="preserve"> en chiffres absolus n’ont mangé à leur faim, mais en parallèle, jamais autant de personnes n’ont eu faim</w:t>
      </w:r>
      <w:r w:rsidRPr="00AB265F">
        <w:rPr>
          <w:rStyle w:val="FootnoteAnchor"/>
        </w:rPr>
        <w:footnoteReference w:id="3"/>
      </w:r>
      <w:r w:rsidRPr="00AC1FC1">
        <w:t xml:space="preserve">. </w:t>
      </w:r>
    </w:p>
    <w:p w14:paraId="3E3F3E9F" w14:textId="5F7CDEDF" w:rsidR="007737E3" w:rsidRPr="007737E3" w:rsidRDefault="007737E3" w:rsidP="007737E3">
      <w:r w:rsidRPr="007737E3">
        <w:t xml:space="preserve">La communauté internationale s’est engagée en 2015 à éradiquer la faim en 15 ans, et non plus à la réduire comme c’était le cas avec les Objectifs du millénaire. Or, depuis 2014, les chiffres remontent (exception faite d’une légère baisse en 2017). A l’heure de produire cette étude, les derniers relevés établissent qu’entre 702 et 828 millions de personnes auraient souffert de la faim dans le monde en 2021. En se basant sur le milieu de la fourchette, nous obtenons 768 millions de personnes, autrement dit, le chiffre de 2015. En termes de pourcentage aussi, la courbe s'inverse. Le pourcentage de la population mondiale sous-alimentée grimpe depuis 2019 après une baisse durant les 15 années précédant les ODD. </w:t>
      </w:r>
    </w:p>
    <w:p w14:paraId="326E7012" w14:textId="77777777" w:rsidR="00502554" w:rsidRPr="00502554" w:rsidRDefault="00502554" w:rsidP="00502554">
      <w:pPr>
        <w:rPr>
          <w:rFonts w:cstheme="minorHAnsi"/>
        </w:rPr>
      </w:pPr>
      <w:r w:rsidRPr="00502554">
        <w:rPr>
          <w:rFonts w:cstheme="minorHAnsi"/>
        </w:rPr>
        <w:t>Selon les projections de la FAO, près de 670 millions de personnes seront encore confrontées à la faim en 2030, soit 8 % de la population mondiale. Autrement dit, en pourcentage de la population, la faim aura connu une baisse mais en nombre de personnes, cela correspond au chiffre de 2015, année de lancement de l'Agenda 2030</w:t>
      </w:r>
      <w:r w:rsidRPr="00502554">
        <w:rPr>
          <w:rStyle w:val="FootnoteAnchor"/>
          <w:rFonts w:cstheme="minorHAnsi"/>
        </w:rPr>
        <w:footnoteReference w:id="4"/>
      </w:r>
      <w:r w:rsidRPr="00502554">
        <w:rPr>
          <w:rFonts w:cstheme="minorHAnsi"/>
        </w:rPr>
        <w:t xml:space="preserve">. </w:t>
      </w:r>
    </w:p>
    <w:p w14:paraId="562801EA" w14:textId="2612463C" w:rsidR="00935AB2" w:rsidRDefault="00935AB2" w:rsidP="00C82665">
      <w:pPr>
        <w:spacing w:before="240" w:after="240"/>
        <w:rPr>
          <w:rFonts w:cstheme="minorHAnsi"/>
        </w:rPr>
      </w:pPr>
      <w:r>
        <w:rPr>
          <w:rFonts w:cstheme="minorHAnsi"/>
        </w:rPr>
        <w:t xml:space="preserve">Pour répondre à ces évolutions mondiales, la Coopération belge au développement disposent de divers leviers, notamment des compétences de nombreux acteurs en la matière: agences étatiques (Enabel, BIO), acteurs institutionnels, organisations de la société civile. </w:t>
      </w:r>
      <w:r w:rsidR="008B057E">
        <w:rPr>
          <w:rFonts w:cstheme="minorHAnsi"/>
        </w:rPr>
        <w:t>Les missions de ces acteurs sont différentes et peuvent être complémentaires, à condition de disposer d’espaces leur permettant de dialoguer entre eux et avec les autorités publiques (cabinet de la Ministre de la Coopération, Service public fédéral Affaires étrangères, commerce et coopération, en particulier la DGD). Une Plateforme, longtemps animée par la DGD, joue ce rôle : la Plateforme agriculture et sécurité alimentaire (PASA).</w:t>
      </w:r>
    </w:p>
    <w:p w14:paraId="75CF38F4" w14:textId="4D45BC97" w:rsidR="00F04515" w:rsidRDefault="008B057E" w:rsidP="00C82665">
      <w:pPr>
        <w:spacing w:before="240" w:after="240"/>
        <w:rPr>
          <w:rFonts w:cstheme="minorHAnsi"/>
        </w:rPr>
      </w:pPr>
      <w:r>
        <w:rPr>
          <w:rFonts w:cstheme="minorHAnsi"/>
        </w:rPr>
        <w:t xml:space="preserve">Différentes raisons, en particulier le manque d’effectifs dédiés au sein de la DGD, avaient entraîné la suspension des travaux de la PASA dans le courant de la décennie passée. </w:t>
      </w:r>
      <w:r w:rsidR="009C6785">
        <w:rPr>
          <w:rFonts w:cstheme="minorHAnsi"/>
        </w:rPr>
        <w:t xml:space="preserve">En 2020, les ONG membres de la Coalition contre la faim avaient, dans leur </w:t>
      </w:r>
      <w:r w:rsidR="008708F3">
        <w:rPr>
          <w:rFonts w:cstheme="minorHAnsi"/>
        </w:rPr>
        <w:t>réponse managériale</w:t>
      </w:r>
      <w:r w:rsidR="00D61C6F" w:rsidRPr="00D61C6F">
        <w:t xml:space="preserve"> </w:t>
      </w:r>
      <w:r w:rsidR="00D61C6F" w:rsidRPr="00D61C6F">
        <w:rPr>
          <w:rFonts w:cstheme="minorHAnsi"/>
        </w:rPr>
        <w:t>à l’évaluation du Fonds belge de sécurité alimentaire (FBSA) par le Service de l’Evaluation spéciale (SES)</w:t>
      </w:r>
      <w:r w:rsidR="00D61C6F">
        <w:rPr>
          <w:rStyle w:val="FootnoteReference"/>
          <w:rFonts w:cstheme="minorHAnsi"/>
        </w:rPr>
        <w:footnoteReference w:id="5"/>
      </w:r>
      <w:r w:rsidR="00D61C6F" w:rsidRPr="00D61C6F">
        <w:rPr>
          <w:rFonts w:cstheme="minorHAnsi"/>
        </w:rPr>
        <w:t>,</w:t>
      </w:r>
      <w:r w:rsidR="00450AF1">
        <w:rPr>
          <w:rFonts w:cstheme="minorHAnsi"/>
        </w:rPr>
        <w:t xml:space="preserve"> recommandé la redynamisation de la Plateforme agriculture et sécurité alimentaire (PASA)</w:t>
      </w:r>
      <w:r w:rsidR="00B5695D">
        <w:rPr>
          <w:rFonts w:cstheme="minorHAnsi"/>
        </w:rPr>
        <w:t xml:space="preserve">, qui a pour objectif de permettre l’échange et de promouvoir les synergies entre acteurs de la coopération spécialistes de </w:t>
      </w:r>
      <w:r w:rsidR="00E81E84">
        <w:rPr>
          <w:rFonts w:cstheme="minorHAnsi"/>
        </w:rPr>
        <w:t xml:space="preserve">ce secteur. Ceci, avec l’objectif </w:t>
      </w:r>
      <w:r w:rsidR="00E81E84">
        <w:rPr>
          <w:rFonts w:cstheme="minorHAnsi"/>
        </w:rPr>
        <w:lastRenderedPageBreak/>
        <w:t xml:space="preserve">final d’améliorer la qualité des projets de coopération </w:t>
      </w:r>
      <w:r w:rsidR="00044E11">
        <w:rPr>
          <w:rFonts w:cstheme="minorHAnsi"/>
        </w:rPr>
        <w:t xml:space="preserve">au bénéfice de la sécurité alimentaire. </w:t>
      </w:r>
      <w:r w:rsidR="00E81E84">
        <w:rPr>
          <w:rFonts w:cstheme="minorHAnsi"/>
        </w:rPr>
        <w:t>Il a été demandé au CNCD-11.11.11 d’assurer</w:t>
      </w:r>
      <w:r w:rsidR="00044E11">
        <w:rPr>
          <w:rFonts w:cstheme="minorHAnsi"/>
        </w:rPr>
        <w:t xml:space="preserve"> le secrétariat de cette plateforme, à raison de trois réunions par an. Le présent dossier a pour objectif de couvrir cette mission.</w:t>
      </w:r>
    </w:p>
    <w:p w14:paraId="1CA88AB2" w14:textId="4C63DAF3" w:rsidR="0018040B" w:rsidRPr="001C5E80" w:rsidRDefault="0018040B" w:rsidP="00C82665">
      <w:pPr>
        <w:spacing w:before="240" w:after="240"/>
        <w:rPr>
          <w:rFonts w:cstheme="minorHAnsi"/>
        </w:rPr>
      </w:pPr>
      <w:r w:rsidRPr="001C5E80">
        <w:rPr>
          <w:rFonts w:cstheme="minorHAnsi"/>
        </w:rPr>
        <w:t xml:space="preserve">Les membres </w:t>
      </w:r>
      <w:r w:rsidR="00AB5641" w:rsidRPr="001C5E80">
        <w:rPr>
          <w:rFonts w:cstheme="minorHAnsi"/>
        </w:rPr>
        <w:t xml:space="preserve">de plein droit de la PASA sont : </w:t>
      </w:r>
      <w:bookmarkStart w:id="8" w:name="_Hlk141436079"/>
      <w:r w:rsidR="00AB5641" w:rsidRPr="001C5E80">
        <w:rPr>
          <w:rFonts w:cstheme="minorHAnsi"/>
        </w:rPr>
        <w:t xml:space="preserve">la </w:t>
      </w:r>
      <w:r w:rsidR="00AB5641" w:rsidRPr="001C5E80">
        <w:t>DGD, les Affaires étrangères, Enabel, BIO, le cabinet de la Coopération, la Coalition contre la faim et les acteurs institutionnels actifs dans le secteur.</w:t>
      </w:r>
      <w:bookmarkEnd w:id="8"/>
    </w:p>
    <w:p w14:paraId="0425D76B" w14:textId="6F401980" w:rsidR="00132D13" w:rsidRPr="00132D13" w:rsidRDefault="00132D13" w:rsidP="00AC1FC1">
      <w:pPr>
        <w:pStyle w:val="Heading1"/>
      </w:pPr>
      <w:bookmarkStart w:id="9" w:name="_Toc136943601"/>
      <w:bookmarkStart w:id="10" w:name="_Toc141438375"/>
      <w:r w:rsidRPr="00132D13">
        <w:t xml:space="preserve">Stratégie </w:t>
      </w:r>
      <w:bookmarkEnd w:id="9"/>
      <w:r w:rsidR="001213F1">
        <w:t>d’action</w:t>
      </w:r>
      <w:bookmarkEnd w:id="10"/>
    </w:p>
    <w:p w14:paraId="50E2E378" w14:textId="458E20FC" w:rsidR="00DE73D8" w:rsidRPr="00D10BCB" w:rsidRDefault="00E26024" w:rsidP="00AC1FC1">
      <w:pPr>
        <w:pStyle w:val="western"/>
        <w:rPr>
          <w:rFonts w:cs="Arial"/>
        </w:rPr>
      </w:pPr>
      <w:r w:rsidRPr="00D10BCB">
        <w:rPr>
          <w:rFonts w:cs="Arial"/>
          <w:u w:val="single"/>
        </w:rPr>
        <w:t>C</w:t>
      </w:r>
      <w:r w:rsidR="008D18F3" w:rsidRPr="00D10BCB">
        <w:rPr>
          <w:rFonts w:cs="Arial"/>
          <w:u w:val="single"/>
        </w:rPr>
        <w:t>ontexte</w:t>
      </w:r>
      <w:r w:rsidRPr="00D10BCB">
        <w:rPr>
          <w:rFonts w:cs="Arial"/>
        </w:rPr>
        <w:t> : d</w:t>
      </w:r>
      <w:r w:rsidR="00124DE8" w:rsidRPr="00D10BCB">
        <w:rPr>
          <w:rFonts w:cs="Arial"/>
        </w:rPr>
        <w:t>ans le passé</w:t>
      </w:r>
      <w:r w:rsidR="00287D03" w:rsidRPr="00D10BCB">
        <w:rPr>
          <w:rFonts w:cs="Arial"/>
        </w:rPr>
        <w:t xml:space="preserve">, </w:t>
      </w:r>
      <w:r w:rsidR="00D10BCB" w:rsidRPr="00D10BCB">
        <w:rPr>
          <w:rFonts w:cs="Arial"/>
        </w:rPr>
        <w:t xml:space="preserve">le secrétariat de </w:t>
      </w:r>
      <w:r w:rsidR="00287D03" w:rsidRPr="00D10BCB">
        <w:rPr>
          <w:rFonts w:cs="Arial"/>
        </w:rPr>
        <w:t xml:space="preserve">la </w:t>
      </w:r>
      <w:r w:rsidR="00124DE8" w:rsidRPr="00D10BCB">
        <w:rPr>
          <w:rFonts w:cs="Arial"/>
        </w:rPr>
        <w:t xml:space="preserve">PASA était </w:t>
      </w:r>
      <w:r w:rsidR="00D10BCB" w:rsidRPr="00D10BCB">
        <w:rPr>
          <w:rFonts w:cs="Arial"/>
        </w:rPr>
        <w:t xml:space="preserve">assuré </w:t>
      </w:r>
      <w:r w:rsidR="00124DE8" w:rsidRPr="00D10BCB">
        <w:rPr>
          <w:rFonts w:cs="Arial"/>
        </w:rPr>
        <w:t>par la DGD</w:t>
      </w:r>
      <w:r w:rsidR="00287D03" w:rsidRPr="00D10BCB">
        <w:rPr>
          <w:rFonts w:cs="Arial"/>
        </w:rPr>
        <w:t xml:space="preserve">. Mais </w:t>
      </w:r>
      <w:r w:rsidR="00D10BCB" w:rsidRPr="00D10BCB">
        <w:rPr>
          <w:rFonts w:cs="Arial"/>
        </w:rPr>
        <w:t xml:space="preserve">le </w:t>
      </w:r>
      <w:r w:rsidR="00287D03" w:rsidRPr="00D10BCB">
        <w:rPr>
          <w:rFonts w:cs="Arial"/>
        </w:rPr>
        <w:t xml:space="preserve">manque de ressources humaines au sein de </w:t>
      </w:r>
      <w:r w:rsidR="00D10BCB" w:rsidRPr="00D10BCB">
        <w:rPr>
          <w:rFonts w:cs="Arial"/>
        </w:rPr>
        <w:t>celle-ci a entraîné une incapacité à en assurer le suivi :</w:t>
      </w:r>
      <w:r w:rsidR="00287D03" w:rsidRPr="00D10BCB">
        <w:rPr>
          <w:rFonts w:cs="Arial"/>
        </w:rPr>
        <w:t xml:space="preserve"> aucune réunion ne </w:t>
      </w:r>
      <w:r w:rsidR="00D10BCB" w:rsidRPr="00D10BCB">
        <w:rPr>
          <w:rFonts w:cs="Arial"/>
        </w:rPr>
        <w:t xml:space="preserve">s’est </w:t>
      </w:r>
      <w:r w:rsidR="00287D03" w:rsidRPr="00D10BCB">
        <w:rPr>
          <w:rFonts w:cs="Arial"/>
        </w:rPr>
        <w:t xml:space="preserve">tenue durant plusieurs années. </w:t>
      </w:r>
      <w:r w:rsidR="00552954" w:rsidRPr="00D10BCB">
        <w:rPr>
          <w:rFonts w:cs="Arial"/>
        </w:rPr>
        <w:t xml:space="preserve">Pour relancer la PASA, les acteurs impliqués se sont entendus pour que la Coalition </w:t>
      </w:r>
      <w:r w:rsidR="00D10BCB" w:rsidRPr="00D10BCB">
        <w:rPr>
          <w:rFonts w:cs="Arial"/>
        </w:rPr>
        <w:t>c</w:t>
      </w:r>
      <w:r w:rsidR="00552954" w:rsidRPr="00D10BCB">
        <w:rPr>
          <w:rFonts w:cs="Arial"/>
        </w:rPr>
        <w:t xml:space="preserve">ontre la </w:t>
      </w:r>
      <w:r w:rsidR="00D10BCB" w:rsidRPr="00D10BCB">
        <w:rPr>
          <w:rFonts w:cs="Arial"/>
        </w:rPr>
        <w:t>f</w:t>
      </w:r>
      <w:r w:rsidR="00552954" w:rsidRPr="00D10BCB">
        <w:rPr>
          <w:rFonts w:cs="Arial"/>
        </w:rPr>
        <w:t>aim assure le secrétariat</w:t>
      </w:r>
      <w:r w:rsidR="00DE73D8" w:rsidRPr="00D10BCB">
        <w:rPr>
          <w:rFonts w:cs="Arial"/>
        </w:rPr>
        <w:t xml:space="preserve"> et la coordination des rencontres. </w:t>
      </w:r>
      <w:r w:rsidR="00552954" w:rsidRPr="00D10BCB">
        <w:rPr>
          <w:rFonts w:cs="Arial"/>
        </w:rPr>
        <w:t xml:space="preserve"> </w:t>
      </w:r>
      <w:r w:rsidR="0045294F" w:rsidRPr="00D10BCB">
        <w:rPr>
          <w:rFonts w:cs="Arial"/>
        </w:rPr>
        <w:t xml:space="preserve">Entre octobre 2021 et </w:t>
      </w:r>
      <w:r w:rsidR="000076F8" w:rsidRPr="00D10BCB">
        <w:rPr>
          <w:rFonts w:cs="Arial"/>
        </w:rPr>
        <w:t xml:space="preserve">juin 2023, 5 rencontres de la PASA ont été assurée par la Coalition contre la faim et plus précisément par </w:t>
      </w:r>
      <w:r w:rsidR="00886B0F" w:rsidRPr="00D10BCB">
        <w:rPr>
          <w:rFonts w:cs="Arial"/>
        </w:rPr>
        <w:t xml:space="preserve">un permanent du CNCD-11.11.11 en tant que coordinateur de la CCF. </w:t>
      </w:r>
    </w:p>
    <w:p w14:paraId="0370ED69" w14:textId="5A3EA96E" w:rsidR="00044E11" w:rsidRDefault="00FF7F38" w:rsidP="00AC1FC1">
      <w:pPr>
        <w:pStyle w:val="western"/>
        <w:rPr>
          <w:lang w:val="fr-FR" w:eastAsia="fr-FR"/>
        </w:rPr>
      </w:pPr>
      <w:r w:rsidRPr="00D10BCB">
        <w:rPr>
          <w:rFonts w:cs="Arial"/>
          <w:u w:val="single"/>
        </w:rPr>
        <w:t>L’objectif général</w:t>
      </w:r>
      <w:r w:rsidRPr="00D10BCB">
        <w:rPr>
          <w:rFonts w:cs="Arial"/>
        </w:rPr>
        <w:t xml:space="preserve"> </w:t>
      </w:r>
      <w:r w:rsidR="00EA23A8" w:rsidRPr="00D10BCB">
        <w:rPr>
          <w:rFonts w:cs="Arial"/>
        </w:rPr>
        <w:t xml:space="preserve">de la PASA </w:t>
      </w:r>
      <w:r w:rsidR="003F46CE" w:rsidRPr="00D10BCB">
        <w:rPr>
          <w:rFonts w:cs="Arial"/>
        </w:rPr>
        <w:t xml:space="preserve">est de </w:t>
      </w:r>
      <w:r w:rsidR="003A56F6" w:rsidRPr="00D10BCB">
        <w:t xml:space="preserve">soutenir la politique belge en matière de systèmes alimentaires durables, de sécurité alimentaire et de nutrition dans le cadre de la coopération au développement </w:t>
      </w:r>
      <w:r w:rsidR="00E463E2" w:rsidRPr="00D10BCB">
        <w:t>en renforçant</w:t>
      </w:r>
      <w:r w:rsidR="003F46CE" w:rsidRPr="00D10BCB">
        <w:t xml:space="preserve"> la capacité et l'expertise de ses membres, </w:t>
      </w:r>
      <w:r w:rsidR="00565FA5" w:rsidRPr="00D10BCB">
        <w:t xml:space="preserve">en </w:t>
      </w:r>
      <w:r w:rsidR="003F46CE" w:rsidRPr="00D10BCB">
        <w:t>stimul</w:t>
      </w:r>
      <w:r w:rsidR="00E463E2" w:rsidRPr="00D10BCB">
        <w:t>ant</w:t>
      </w:r>
      <w:r w:rsidR="003F46CE" w:rsidRPr="00D10BCB">
        <w:t xml:space="preserve"> la coopération entre tous les acteurs impliqués dans la coopération belge au développement</w:t>
      </w:r>
      <w:r w:rsidR="00E463E2" w:rsidRPr="00D10BCB">
        <w:t xml:space="preserve">, développant </w:t>
      </w:r>
      <w:r w:rsidR="003F46CE" w:rsidRPr="00D10BCB">
        <w:t>des activités</w:t>
      </w:r>
      <w:r w:rsidR="003F46CE">
        <w:t xml:space="preserve"> de sensibilisation et des conseils politiques</w:t>
      </w:r>
      <w:r w:rsidR="00C81ECE">
        <w:t xml:space="preserve"> au travers de synthèse ou d’avis. </w:t>
      </w:r>
    </w:p>
    <w:p w14:paraId="268004C4" w14:textId="35462AE7" w:rsidR="0087782F" w:rsidRDefault="00796603" w:rsidP="0087782F">
      <w:pPr>
        <w:pStyle w:val="western"/>
      </w:pPr>
      <w:r w:rsidRPr="00D10BCB">
        <w:rPr>
          <w:u w:val="single"/>
        </w:rPr>
        <w:t>L’objectif du secrétariat</w:t>
      </w:r>
      <w:r>
        <w:t xml:space="preserve"> est d’assurer u</w:t>
      </w:r>
      <w:r w:rsidR="003507C3">
        <w:t xml:space="preserve">ne coordination et une consultation structurée entre les différents acteurs belges permettent d'obtenir de meilleurs résultats, de formuler des recommandations politiques et des conseils en matière de systèmes alimentaires durables, de sécurité alimentaire et de nutrition, d'améliorer l'efficacité et l'efficience du secteur agricole au sein de la coopération belge au </w:t>
      </w:r>
      <w:r w:rsidR="00C81BBF">
        <w:t xml:space="preserve">développement. </w:t>
      </w:r>
      <w:r w:rsidR="0087782F">
        <w:t xml:space="preserve">Le secrétariat de la PASA assure </w:t>
      </w:r>
      <w:r w:rsidR="005C548F">
        <w:t xml:space="preserve">la réalisation </w:t>
      </w:r>
      <w:r w:rsidR="00D10BCB">
        <w:t xml:space="preserve">et le suivi </w:t>
      </w:r>
      <w:r w:rsidR="005C548F">
        <w:t>de rencontres et d’autres formes d’échange permettant le partage et la</w:t>
      </w:r>
      <w:r w:rsidR="0087782F">
        <w:t xml:space="preserve"> capitalisation des connaissances techniques et de la recherche scientifique liées aux systèmes alimentaires durables, à la sécurité alimentaire et à la nutrition.   </w:t>
      </w:r>
    </w:p>
    <w:p w14:paraId="7C6D68B8" w14:textId="623771EE" w:rsidR="001213F1" w:rsidRPr="00B45594" w:rsidRDefault="001213F1" w:rsidP="001213F1">
      <w:r w:rsidRPr="00B45594">
        <w:t xml:space="preserve">Le </w:t>
      </w:r>
      <w:r w:rsidRPr="001213F1">
        <w:rPr>
          <w:u w:val="single"/>
        </w:rPr>
        <w:t>groupe cible</w:t>
      </w:r>
      <w:r w:rsidRPr="00B45594">
        <w:t xml:space="preserve"> </w:t>
      </w:r>
      <w:r>
        <w:t>est défini par les termes de référence de la PASA</w:t>
      </w:r>
      <w:r w:rsidR="002D15F5">
        <w:t> </w:t>
      </w:r>
      <w:r>
        <w:t xml:space="preserve">: </w:t>
      </w:r>
      <w:r w:rsidRPr="009D7142">
        <w:t>la DGD, les Affaires étrangères, Enabel, BIO, le cabinet de la Coopération, la Coalition contre la faim</w:t>
      </w:r>
      <w:r w:rsidR="008C55C2">
        <w:t>, le monde académique</w:t>
      </w:r>
      <w:r w:rsidRPr="009D7142">
        <w:t xml:space="preserve"> et les acteurs institutionnels actifs dans le secteur.</w:t>
      </w:r>
    </w:p>
    <w:p w14:paraId="6082A0E9" w14:textId="041AAEFA" w:rsidR="002E317D" w:rsidRDefault="00A00EE9" w:rsidP="00884349">
      <w:pPr>
        <w:pStyle w:val="western"/>
        <w:spacing w:after="0"/>
      </w:pPr>
      <w:r w:rsidRPr="00A00EE9">
        <w:t xml:space="preserve">La </w:t>
      </w:r>
      <w:r w:rsidRPr="00CD3EA1">
        <w:rPr>
          <w:u w:val="single"/>
        </w:rPr>
        <w:t>stratégie d’action</w:t>
      </w:r>
      <w:r w:rsidRPr="00A00EE9">
        <w:t xml:space="preserve"> du projet repose sur</w:t>
      </w:r>
      <w:r w:rsidR="004A0B79">
        <w:t xml:space="preserve"> </w:t>
      </w:r>
      <w:r w:rsidR="00166E85">
        <w:t>l’animation et le secrétariat de la Plateforme Agriculture et sécurité alimentaire (PASA)</w:t>
      </w:r>
      <w:r w:rsidR="00494CCA">
        <w:t>, réunissant les acteurs belges de la coopération dans ce secteur</w:t>
      </w:r>
      <w:r w:rsidR="00884349">
        <w:t xml:space="preserve"> et ayant pour objectifs de</w:t>
      </w:r>
      <w:r w:rsidR="002D15F5">
        <w:t> </w:t>
      </w:r>
      <w:r w:rsidR="00884349">
        <w:t>:</w:t>
      </w:r>
    </w:p>
    <w:p w14:paraId="79DA426C" w14:textId="2A554809" w:rsidR="00884349" w:rsidRDefault="00884349" w:rsidP="00884349">
      <w:pPr>
        <w:pStyle w:val="western"/>
        <w:numPr>
          <w:ilvl w:val="0"/>
          <w:numId w:val="43"/>
        </w:numPr>
        <w:spacing w:before="0" w:after="0"/>
      </w:pPr>
      <w:r>
        <w:t>Servir d’espace de rencontre thématique et d’environnement d</w:t>
      </w:r>
      <w:r w:rsidR="002D15F5">
        <w:t>’</w:t>
      </w:r>
      <w:r>
        <w:t>apprentissage où les participants partagent des informations et développent leurs connaissances autour de défis spécifiques liés aux systèmes alimentaires durables, à la sécurité alimentaire et à la nutrition dans le Sud</w:t>
      </w:r>
      <w:r w:rsidR="002D15F5">
        <w:t> </w:t>
      </w:r>
      <w:r>
        <w:t>;</w:t>
      </w:r>
    </w:p>
    <w:p w14:paraId="453325EA" w14:textId="73680FAE" w:rsidR="00884349" w:rsidRDefault="00884349" w:rsidP="00884349">
      <w:pPr>
        <w:pStyle w:val="western"/>
        <w:numPr>
          <w:ilvl w:val="0"/>
          <w:numId w:val="43"/>
        </w:numPr>
        <w:spacing w:before="0" w:after="0"/>
      </w:pPr>
      <w:r>
        <w:t>Renforcer le plaidoyer en faveur des systèmes alimentaires durables, de la sécurité alimentaire et de la nutrition dans la coopération au développement et assurer la cohérence avec les autres domaines politiques de l</w:t>
      </w:r>
      <w:r w:rsidR="002D15F5">
        <w:t>’</w:t>
      </w:r>
      <w:r>
        <w:t>OS en rassemblant le secteur autour de recommandations qui contribuent au développement, à la mise en œuvre et au suivi de la politique belge (au niveau fédéral et communautaire) et en les reliant aux initiatives internationales</w:t>
      </w:r>
      <w:r w:rsidR="002D15F5">
        <w:t> </w:t>
      </w:r>
      <w:r>
        <w:t>;</w:t>
      </w:r>
    </w:p>
    <w:p w14:paraId="56426570" w14:textId="7A2E843D" w:rsidR="00884349" w:rsidRDefault="00884349" w:rsidP="00884349">
      <w:pPr>
        <w:pStyle w:val="western"/>
        <w:numPr>
          <w:ilvl w:val="0"/>
          <w:numId w:val="43"/>
        </w:numPr>
        <w:spacing w:before="0" w:after="0"/>
      </w:pPr>
      <w:r>
        <w:t>Promouvoir la complémentarité et la synergie</w:t>
      </w:r>
      <w:r w:rsidR="002D15F5">
        <w:t> </w:t>
      </w:r>
      <w:r>
        <w:t>;</w:t>
      </w:r>
    </w:p>
    <w:p w14:paraId="4C3A54F3" w14:textId="7ABA1916" w:rsidR="00884349" w:rsidRDefault="00884349" w:rsidP="00884349">
      <w:pPr>
        <w:pStyle w:val="western"/>
        <w:numPr>
          <w:ilvl w:val="0"/>
          <w:numId w:val="43"/>
        </w:numPr>
        <w:spacing w:before="0" w:after="0"/>
      </w:pPr>
      <w:r>
        <w:t>Explorer les thèmes difficiles de l</w:t>
      </w:r>
      <w:r w:rsidR="002D15F5">
        <w:t>’</w:t>
      </w:r>
      <w:r>
        <w:t>agenda politique</w:t>
      </w:r>
      <w:r w:rsidR="002D15F5">
        <w:t> </w:t>
      </w:r>
      <w:r>
        <w:t>;</w:t>
      </w:r>
    </w:p>
    <w:p w14:paraId="74D9D141" w14:textId="50614971" w:rsidR="00884349" w:rsidRDefault="00884349" w:rsidP="00884349">
      <w:pPr>
        <w:pStyle w:val="western"/>
        <w:numPr>
          <w:ilvl w:val="0"/>
          <w:numId w:val="43"/>
        </w:numPr>
        <w:spacing w:before="0" w:after="0"/>
      </w:pPr>
      <w:r>
        <w:lastRenderedPageBreak/>
        <w:t>Fournir des conseils politiques</w:t>
      </w:r>
      <w:r w:rsidR="0083573A">
        <w:t xml:space="preserve"> au travers</w:t>
      </w:r>
      <w:r w:rsidR="001E3FA9">
        <w:t xml:space="preserve"> des exposés et </w:t>
      </w:r>
      <w:r w:rsidR="00CF733A">
        <w:t xml:space="preserve">débats lors des rencontres mais aussi au travers </w:t>
      </w:r>
      <w:r w:rsidR="0083573A">
        <w:t xml:space="preserve">de la production d’actes des rencontres, de synthèses des débats </w:t>
      </w:r>
      <w:r w:rsidR="009C01BD">
        <w:t xml:space="preserve">ou encore de faciliter la production d’avis </w:t>
      </w:r>
      <w:r>
        <w:t>sur la transformation des systèmes alimentaires, entre autres ;</w:t>
      </w:r>
    </w:p>
    <w:p w14:paraId="3B8C89AC" w14:textId="636D7D3F" w:rsidR="00753147" w:rsidRDefault="00884349" w:rsidP="00753147">
      <w:pPr>
        <w:pStyle w:val="western"/>
        <w:numPr>
          <w:ilvl w:val="0"/>
          <w:numId w:val="43"/>
        </w:numPr>
        <w:spacing w:before="0" w:after="0"/>
      </w:pPr>
      <w:r>
        <w:t>Contribuer au renforcement de la cohérence politique pour le développement et la transition vers des systèmes alimentaires durables ;</w:t>
      </w:r>
    </w:p>
    <w:p w14:paraId="4996FFFB" w14:textId="4B82769A" w:rsidR="00884349" w:rsidRDefault="00884349" w:rsidP="00884349">
      <w:pPr>
        <w:pStyle w:val="western"/>
        <w:numPr>
          <w:ilvl w:val="0"/>
          <w:numId w:val="43"/>
        </w:numPr>
        <w:spacing w:before="0" w:after="0"/>
      </w:pPr>
      <w:r>
        <w:t>Préparer des conseils pour déterminer la position belge dans les négociations européennes et internationales.</w:t>
      </w:r>
    </w:p>
    <w:p w14:paraId="352CBC51" w14:textId="2F664B25" w:rsidR="00B557EE" w:rsidRDefault="00E0251D" w:rsidP="00AC1FC1">
      <w:pPr>
        <w:pStyle w:val="western"/>
        <w:rPr>
          <w:lang w:val="fr-FR"/>
        </w:rPr>
      </w:pPr>
      <w:r>
        <w:rPr>
          <w:lang w:val="fr-FR"/>
        </w:rPr>
        <w:t xml:space="preserve">La </w:t>
      </w:r>
      <w:r w:rsidR="00CB71C9">
        <w:rPr>
          <w:u w:val="single"/>
          <w:lang w:val="fr-FR"/>
        </w:rPr>
        <w:t xml:space="preserve">pertinence </w:t>
      </w:r>
      <w:r>
        <w:rPr>
          <w:lang w:val="fr-FR"/>
        </w:rPr>
        <w:t xml:space="preserve">de la stratégie repose sur </w:t>
      </w:r>
      <w:r w:rsidR="00694ED4">
        <w:rPr>
          <w:lang w:val="fr-FR"/>
        </w:rPr>
        <w:t xml:space="preserve">le </w:t>
      </w:r>
      <w:r w:rsidR="00CB71C9">
        <w:rPr>
          <w:lang w:val="fr-FR"/>
        </w:rPr>
        <w:t xml:space="preserve">rôle reconnu </w:t>
      </w:r>
      <w:r w:rsidR="00694ED4">
        <w:rPr>
          <w:lang w:val="fr-FR"/>
        </w:rPr>
        <w:t>du CNCD-11.11.11</w:t>
      </w:r>
      <w:r w:rsidR="00CB71C9">
        <w:rPr>
          <w:lang w:val="fr-FR"/>
        </w:rPr>
        <w:t xml:space="preserve"> dans son rôle de coordination et de plaidoyer :</w:t>
      </w:r>
      <w:r w:rsidR="00057D50">
        <w:rPr>
          <w:lang w:val="fr-FR"/>
        </w:rPr>
        <w:t xml:space="preserve"> </w:t>
      </w:r>
    </w:p>
    <w:p w14:paraId="607CC8DB" w14:textId="59ECA730" w:rsidR="00B557EE" w:rsidRDefault="00001301" w:rsidP="00D82763">
      <w:pPr>
        <w:pStyle w:val="western"/>
        <w:numPr>
          <w:ilvl w:val="0"/>
          <w:numId w:val="33"/>
        </w:numPr>
        <w:spacing w:before="0" w:after="0"/>
        <w:rPr>
          <w:lang w:val="fr-FR"/>
        </w:rPr>
      </w:pPr>
      <w:r>
        <w:rPr>
          <w:lang w:val="fr-FR"/>
        </w:rPr>
        <w:t>I</w:t>
      </w:r>
      <w:r w:rsidR="00057D50">
        <w:rPr>
          <w:lang w:val="fr-FR"/>
        </w:rPr>
        <w:t xml:space="preserve">l </w:t>
      </w:r>
      <w:r w:rsidR="00B557EE">
        <w:rPr>
          <w:lang w:val="fr-FR"/>
        </w:rPr>
        <w:t xml:space="preserve">joue </w:t>
      </w:r>
      <w:r w:rsidR="007B6235">
        <w:rPr>
          <w:lang w:val="fr-FR"/>
        </w:rPr>
        <w:t xml:space="preserve">un rôle de </w:t>
      </w:r>
      <w:r w:rsidR="007B6235" w:rsidRPr="007B6235">
        <w:rPr>
          <w:b/>
          <w:bCs/>
          <w:lang w:val="fr-FR"/>
        </w:rPr>
        <w:t>coordination</w:t>
      </w:r>
      <w:r w:rsidR="007B6235">
        <w:rPr>
          <w:lang w:val="fr-FR"/>
        </w:rPr>
        <w:t xml:space="preserve"> </w:t>
      </w:r>
      <w:r w:rsidR="00CB71C9">
        <w:rPr>
          <w:lang w:val="fr-FR"/>
        </w:rPr>
        <w:t xml:space="preserve">au sein de la Coalition contre la faim, qui réunit les </w:t>
      </w:r>
      <w:r w:rsidR="00276BC2">
        <w:rPr>
          <w:lang w:val="fr-FR"/>
        </w:rPr>
        <w:t>organisations non gouvernementales actives dans le soutien à l’agriculture.</w:t>
      </w:r>
    </w:p>
    <w:p w14:paraId="10F786CD" w14:textId="77777777" w:rsidR="00C628A5" w:rsidRDefault="00276BC2" w:rsidP="00D82763">
      <w:pPr>
        <w:pStyle w:val="western"/>
        <w:numPr>
          <w:ilvl w:val="0"/>
          <w:numId w:val="33"/>
        </w:numPr>
        <w:spacing w:before="0" w:after="0"/>
        <w:rPr>
          <w:lang w:val="fr-FR"/>
        </w:rPr>
      </w:pPr>
      <w:r w:rsidRPr="00C628A5">
        <w:rPr>
          <w:lang w:val="fr-FR"/>
        </w:rPr>
        <w:t>Il dispose d’une expérience dans l’</w:t>
      </w:r>
      <w:r w:rsidRPr="00C628A5">
        <w:rPr>
          <w:b/>
          <w:bCs/>
          <w:lang w:val="fr-FR"/>
        </w:rPr>
        <w:t>animation d’espaces multi-acteurs</w:t>
      </w:r>
      <w:r w:rsidRPr="00C628A5">
        <w:rPr>
          <w:lang w:val="fr-FR"/>
        </w:rPr>
        <w:t xml:space="preserve">, non seulement de plateformes de la société civile, mais aussi </w:t>
      </w:r>
      <w:r w:rsidR="00113B53" w:rsidRPr="00C628A5">
        <w:rPr>
          <w:lang w:val="fr-FR"/>
        </w:rPr>
        <w:t>au travers du secrétariat de deux Conseils d’avis officiels : le Conseil consultatif genre et développement et le Conseil consultatif pour la Cohérence des politiques en faveur du développement.</w:t>
      </w:r>
      <w:r w:rsidR="00CC23F8" w:rsidRPr="00C628A5">
        <w:rPr>
          <w:lang w:val="fr-FR"/>
        </w:rPr>
        <w:t xml:space="preserve">de genre, la place de la société civile, l’éducation à la citoyenneté mondiale et la CPDD. </w:t>
      </w:r>
    </w:p>
    <w:p w14:paraId="71012816" w14:textId="4839890A" w:rsidR="00E0251D" w:rsidRPr="00C628A5" w:rsidRDefault="007B6235" w:rsidP="00D82763">
      <w:pPr>
        <w:pStyle w:val="western"/>
        <w:numPr>
          <w:ilvl w:val="0"/>
          <w:numId w:val="33"/>
        </w:numPr>
        <w:spacing w:before="0"/>
        <w:rPr>
          <w:lang w:val="fr-FR"/>
        </w:rPr>
      </w:pPr>
      <w:r w:rsidRPr="00C628A5">
        <w:rPr>
          <w:lang w:val="fr-FR"/>
        </w:rPr>
        <w:t xml:space="preserve">Il dispose par ailleurs d’une </w:t>
      </w:r>
      <w:r w:rsidRPr="00C628A5">
        <w:rPr>
          <w:b/>
          <w:bCs/>
          <w:lang w:val="fr-FR"/>
        </w:rPr>
        <w:t>expertise</w:t>
      </w:r>
      <w:r w:rsidRPr="00C628A5">
        <w:rPr>
          <w:lang w:val="fr-FR"/>
        </w:rPr>
        <w:t xml:space="preserve"> reconnue </w:t>
      </w:r>
      <w:r w:rsidR="00D82763">
        <w:rPr>
          <w:lang w:val="fr-FR"/>
        </w:rPr>
        <w:t>sur le</w:t>
      </w:r>
      <w:r w:rsidR="00EE68E5">
        <w:rPr>
          <w:lang w:val="fr-FR"/>
        </w:rPr>
        <w:t>s</w:t>
      </w:r>
      <w:r w:rsidR="00D82763">
        <w:rPr>
          <w:lang w:val="fr-FR"/>
        </w:rPr>
        <w:t xml:space="preserve"> questions de coopération au développement, en particulier dans le domaine de la promotion de la sécurité alimentaire.</w:t>
      </w:r>
    </w:p>
    <w:p w14:paraId="6A620A94" w14:textId="0048596E" w:rsidR="00CD4AC1" w:rsidRDefault="00C43AF2" w:rsidP="00AC1FC1">
      <w:r w:rsidRPr="00C43AF2">
        <w:rPr>
          <w:b/>
          <w:bCs/>
          <w:u w:val="single"/>
        </w:rPr>
        <w:t>Activité</w:t>
      </w:r>
      <w:r w:rsidR="008702A2">
        <w:rPr>
          <w:b/>
          <w:bCs/>
          <w:u w:val="single"/>
        </w:rPr>
        <w:t>s</w:t>
      </w:r>
      <w:r w:rsidRPr="00C43AF2">
        <w:rPr>
          <w:b/>
          <w:bCs/>
          <w:u w:val="single"/>
        </w:rPr>
        <w:t xml:space="preserve"> principale</w:t>
      </w:r>
      <w:r w:rsidR="008702A2">
        <w:rPr>
          <w:b/>
          <w:bCs/>
          <w:u w:val="single"/>
        </w:rPr>
        <w:t>s</w:t>
      </w:r>
      <w:r w:rsidR="00CD4AC1">
        <w:rPr>
          <w:b/>
          <w:bCs/>
          <w:u w:val="single"/>
        </w:rPr>
        <w:t xml:space="preserve"> du </w:t>
      </w:r>
      <w:r w:rsidR="00D10BCB">
        <w:rPr>
          <w:b/>
          <w:bCs/>
          <w:u w:val="single"/>
        </w:rPr>
        <w:t>secrétariat</w:t>
      </w:r>
      <w:r w:rsidR="00CD4AC1">
        <w:rPr>
          <w:b/>
          <w:bCs/>
          <w:u w:val="single"/>
        </w:rPr>
        <w:t xml:space="preserve"> de la PASA</w:t>
      </w:r>
      <w:r w:rsidR="000C35AA">
        <w:t> :</w:t>
      </w:r>
      <w:r w:rsidR="008B6EAA">
        <w:t xml:space="preserve"> </w:t>
      </w:r>
    </w:p>
    <w:p w14:paraId="6241D9C9" w14:textId="766190A6" w:rsidR="00D10BCB" w:rsidRDefault="00CD4AC1" w:rsidP="00D10BCB">
      <w:pPr>
        <w:pStyle w:val="ListParagraph"/>
        <w:numPr>
          <w:ilvl w:val="0"/>
          <w:numId w:val="43"/>
        </w:numPr>
      </w:pPr>
      <w:r>
        <w:t xml:space="preserve">Co-responsable avec le </w:t>
      </w:r>
      <w:r w:rsidR="007707A7">
        <w:t xml:space="preserve">groupe de pilotage </w:t>
      </w:r>
      <w:r w:rsidR="000832D3">
        <w:t>de la tenue de 3 rencontres de la PASA par an</w:t>
      </w:r>
    </w:p>
    <w:p w14:paraId="2A8207F4" w14:textId="17F72772" w:rsidR="008702A2" w:rsidRDefault="008702A2" w:rsidP="008702A2">
      <w:pPr>
        <w:pStyle w:val="ListParagraph"/>
        <w:numPr>
          <w:ilvl w:val="0"/>
          <w:numId w:val="43"/>
        </w:numPr>
      </w:pPr>
      <w:r>
        <w:t>Co-responsable avec le groupe de pilotage d’assurer la logistique des rencontres en part</w:t>
      </w:r>
      <w:r w:rsidR="00D10BCB">
        <w:t>e</w:t>
      </w:r>
      <w:r>
        <w:t>nariat</w:t>
      </w:r>
      <w:r w:rsidR="00D10BCB">
        <w:t> </w:t>
      </w:r>
    </w:p>
    <w:p w14:paraId="667FF9F4" w14:textId="3738570A" w:rsidR="008702A2" w:rsidRDefault="00AC1091" w:rsidP="00AC1091">
      <w:pPr>
        <w:pStyle w:val="ListParagraph"/>
        <w:numPr>
          <w:ilvl w:val="0"/>
          <w:numId w:val="43"/>
        </w:numPr>
      </w:pPr>
      <w:r>
        <w:t xml:space="preserve">Co-responsable avec le groupe de pilotage de </w:t>
      </w:r>
      <w:r w:rsidR="00353BD0">
        <w:t xml:space="preserve">trouver et </w:t>
      </w:r>
      <w:r>
        <w:t>démarcher les invités externes en fonction des thématiques des rencontres de la PASA</w:t>
      </w:r>
      <w:r w:rsidR="00AE783D">
        <w:t xml:space="preserve"> et responsable d</w:t>
      </w:r>
      <w:r w:rsidR="002409C2">
        <w:t>u suivi avec ces derniers</w:t>
      </w:r>
    </w:p>
    <w:p w14:paraId="4B76443E" w14:textId="05D19AC5" w:rsidR="00353BD0" w:rsidRDefault="00D10BCB" w:rsidP="00353BD0">
      <w:pPr>
        <w:pStyle w:val="ListParagraph"/>
        <w:numPr>
          <w:ilvl w:val="0"/>
          <w:numId w:val="43"/>
        </w:numPr>
      </w:pPr>
      <w:r>
        <w:t xml:space="preserve">Tenue du </w:t>
      </w:r>
      <w:r w:rsidR="00353BD0">
        <w:t>listing des membres permanents de la PASA et des invités externes</w:t>
      </w:r>
    </w:p>
    <w:p w14:paraId="2E449575" w14:textId="3635DC68" w:rsidR="00353BD0" w:rsidRDefault="008746D3" w:rsidP="00AC1091">
      <w:pPr>
        <w:pStyle w:val="ListParagraph"/>
        <w:numPr>
          <w:ilvl w:val="0"/>
          <w:numId w:val="43"/>
        </w:numPr>
      </w:pPr>
      <w:r>
        <w:t>Archivage de toutes la documentation produite lors des PASA</w:t>
      </w:r>
    </w:p>
    <w:p w14:paraId="514A73A5" w14:textId="17227EBB" w:rsidR="00F73AD2" w:rsidRDefault="00D10BCB" w:rsidP="00CD4AC1">
      <w:pPr>
        <w:pStyle w:val="ListParagraph"/>
        <w:numPr>
          <w:ilvl w:val="0"/>
          <w:numId w:val="43"/>
        </w:numPr>
      </w:pPr>
      <w:r>
        <w:t>Organisation</w:t>
      </w:r>
      <w:r w:rsidR="00F73AD2">
        <w:t xml:space="preserve">, facilitation </w:t>
      </w:r>
      <w:r w:rsidR="00E4671C">
        <w:t xml:space="preserve">et suivi </w:t>
      </w:r>
      <w:r w:rsidR="00F73AD2">
        <w:t xml:space="preserve">des réunions </w:t>
      </w:r>
      <w:r w:rsidR="00E4671C">
        <w:t xml:space="preserve">du groupe de pilotage qui rassemble des membres d’Enabel, de la DGD, du secteur académique et des ONG </w:t>
      </w:r>
    </w:p>
    <w:p w14:paraId="06953BFF" w14:textId="48BD4929" w:rsidR="00E4671C" w:rsidRDefault="00D10BCB" w:rsidP="00CD4AC1">
      <w:pPr>
        <w:pStyle w:val="ListParagraph"/>
        <w:numPr>
          <w:ilvl w:val="0"/>
          <w:numId w:val="43"/>
        </w:numPr>
      </w:pPr>
      <w:r>
        <w:t xml:space="preserve">Facilitation des </w:t>
      </w:r>
      <w:r w:rsidR="00070995">
        <w:t>échanges lors d</w:t>
      </w:r>
      <w:r w:rsidR="00AE2AD6">
        <w:t>es rencontres de la PAS</w:t>
      </w:r>
      <w:r w:rsidR="00070995">
        <w:t>A</w:t>
      </w:r>
    </w:p>
    <w:p w14:paraId="5FFD3CC4" w14:textId="0330E962" w:rsidR="00F73AD2" w:rsidRDefault="00D10BCB" w:rsidP="00CD4AC1">
      <w:pPr>
        <w:pStyle w:val="ListParagraph"/>
        <w:numPr>
          <w:ilvl w:val="0"/>
          <w:numId w:val="43"/>
        </w:numPr>
      </w:pPr>
      <w:r>
        <w:t xml:space="preserve">Envoi des </w:t>
      </w:r>
      <w:r w:rsidR="00074601" w:rsidRPr="00074601">
        <w:t>invitations</w:t>
      </w:r>
      <w:r w:rsidR="00F73AD2">
        <w:t xml:space="preserve"> et les rapports de rencontres aux membres de la PASA</w:t>
      </w:r>
    </w:p>
    <w:p w14:paraId="31BCD465" w14:textId="17894D00" w:rsidR="00EC08D2" w:rsidRDefault="00D10BCB" w:rsidP="00CD4AC1">
      <w:pPr>
        <w:pStyle w:val="ListParagraph"/>
        <w:numPr>
          <w:ilvl w:val="0"/>
          <w:numId w:val="43"/>
        </w:numPr>
      </w:pPr>
      <w:r>
        <w:t xml:space="preserve">Préparation </w:t>
      </w:r>
      <w:r w:rsidR="00074601" w:rsidRPr="00074601">
        <w:t>des rapports</w:t>
      </w:r>
      <w:r w:rsidR="00EC08D2">
        <w:t xml:space="preserve"> (synthèse, notes de rencontres, dossier de documentation, avis…)</w:t>
      </w:r>
      <w:r w:rsidR="00074601" w:rsidRPr="00074601">
        <w:t xml:space="preserve">, </w:t>
      </w:r>
    </w:p>
    <w:p w14:paraId="7B097437" w14:textId="6A3D056F" w:rsidR="0011705E" w:rsidRDefault="0011705E" w:rsidP="0044268D">
      <w:pPr>
        <w:pStyle w:val="ListParagraph"/>
        <w:numPr>
          <w:ilvl w:val="0"/>
          <w:numId w:val="43"/>
        </w:numPr>
      </w:pPr>
      <w:r>
        <w:t>P</w:t>
      </w:r>
      <w:r w:rsidR="00074601" w:rsidRPr="00074601">
        <w:t>réparation du calendrier</w:t>
      </w:r>
      <w:r>
        <w:t xml:space="preserve"> annuel de la PASA</w:t>
      </w:r>
    </w:p>
    <w:p w14:paraId="0A672080" w14:textId="39BC29EE" w:rsidR="001A5E05" w:rsidRDefault="0011705E" w:rsidP="00D10BCB">
      <w:pPr>
        <w:pStyle w:val="ListParagraph"/>
        <w:numPr>
          <w:ilvl w:val="0"/>
          <w:numId w:val="43"/>
        </w:numPr>
      </w:pPr>
      <w:r>
        <w:t>Accessoirement : suivi</w:t>
      </w:r>
      <w:r w:rsidR="004E63BE">
        <w:t xml:space="preserve"> de groupes de travail ad hoc</w:t>
      </w:r>
    </w:p>
    <w:p w14:paraId="62B16E8E" w14:textId="77777777" w:rsidR="00D10BCB" w:rsidRDefault="00D10BCB">
      <w:pPr>
        <w:jc w:val="left"/>
        <w:rPr>
          <w:rFonts w:asciiTheme="majorHAnsi" w:eastAsia="Batang" w:hAnsiTheme="majorHAnsi" w:cstheme="majorBidi"/>
          <w:color w:val="3E762A" w:themeColor="accent1" w:themeShade="BF"/>
          <w:sz w:val="36"/>
          <w:szCs w:val="36"/>
          <w:lang w:eastAsia="fr-FR"/>
        </w:rPr>
      </w:pPr>
      <w:bookmarkStart w:id="11" w:name="_Toc141438376"/>
      <w:r>
        <w:rPr>
          <w:lang w:eastAsia="fr-FR"/>
        </w:rPr>
        <w:br w:type="page"/>
      </w:r>
    </w:p>
    <w:p w14:paraId="2FD8D0A4" w14:textId="5E5E4CB4" w:rsidR="00733D5A" w:rsidRDefault="00C92AF1" w:rsidP="00AC1FC1">
      <w:pPr>
        <w:pStyle w:val="Heading1"/>
      </w:pPr>
      <w:r>
        <w:rPr>
          <w:lang w:eastAsia="fr-FR"/>
        </w:rPr>
        <w:lastRenderedPageBreak/>
        <w:t>Cadre logique</w:t>
      </w:r>
      <w:bookmarkEnd w:id="11"/>
    </w:p>
    <w:p w14:paraId="49C38269" w14:textId="77777777" w:rsidR="00F368F2" w:rsidRPr="00F368F2" w:rsidRDefault="00F368F2" w:rsidP="00AC1FC1">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938"/>
        <w:gridCol w:w="1055"/>
        <w:gridCol w:w="1219"/>
        <w:gridCol w:w="950"/>
        <w:gridCol w:w="2925"/>
      </w:tblGrid>
      <w:tr w:rsidR="00942646" w:rsidRPr="00942646" w14:paraId="348F2391" w14:textId="77777777" w:rsidTr="00600426">
        <w:tc>
          <w:tcPr>
            <w:tcW w:w="1070" w:type="pct"/>
            <w:shd w:val="clear" w:color="auto" w:fill="auto"/>
          </w:tcPr>
          <w:p w14:paraId="2CB024DB" w14:textId="77777777" w:rsidR="00942646" w:rsidRPr="00942646" w:rsidRDefault="00942646" w:rsidP="00AC1FC1">
            <w:pPr>
              <w:rPr>
                <w:sz w:val="16"/>
                <w:szCs w:val="16"/>
              </w:rPr>
            </w:pPr>
            <w:bookmarkStart w:id="12" w:name="_Hlk98774711"/>
          </w:p>
        </w:tc>
        <w:tc>
          <w:tcPr>
            <w:tcW w:w="520" w:type="pct"/>
            <w:shd w:val="clear" w:color="auto" w:fill="auto"/>
          </w:tcPr>
          <w:p w14:paraId="7C82B534" w14:textId="77777777" w:rsidR="00942646" w:rsidRPr="00942646" w:rsidRDefault="00942646" w:rsidP="00AC1FC1">
            <w:pPr>
              <w:rPr>
                <w:sz w:val="16"/>
                <w:szCs w:val="16"/>
              </w:rPr>
            </w:pPr>
            <w:r w:rsidRPr="00942646">
              <w:rPr>
                <w:sz w:val="16"/>
                <w:szCs w:val="16"/>
              </w:rPr>
              <w:t>Baseline</w:t>
            </w:r>
          </w:p>
        </w:tc>
        <w:tc>
          <w:tcPr>
            <w:tcW w:w="585" w:type="pct"/>
            <w:shd w:val="clear" w:color="auto" w:fill="auto"/>
          </w:tcPr>
          <w:p w14:paraId="3D6E8F51" w14:textId="3DC00976" w:rsidR="00942646" w:rsidRPr="00942646" w:rsidRDefault="00600426" w:rsidP="00AC1FC1">
            <w:pPr>
              <w:rPr>
                <w:sz w:val="16"/>
                <w:szCs w:val="16"/>
              </w:rPr>
            </w:pPr>
            <w:r>
              <w:rPr>
                <w:sz w:val="16"/>
                <w:szCs w:val="16"/>
              </w:rPr>
              <w:t>2023</w:t>
            </w:r>
          </w:p>
        </w:tc>
        <w:tc>
          <w:tcPr>
            <w:tcW w:w="676" w:type="pct"/>
            <w:shd w:val="clear" w:color="auto" w:fill="auto"/>
          </w:tcPr>
          <w:p w14:paraId="557CE0FA" w14:textId="619FB204" w:rsidR="00942646" w:rsidRPr="00942646" w:rsidRDefault="00600426" w:rsidP="00AC1FC1">
            <w:pPr>
              <w:rPr>
                <w:sz w:val="16"/>
                <w:szCs w:val="16"/>
              </w:rPr>
            </w:pPr>
            <w:r>
              <w:rPr>
                <w:sz w:val="16"/>
                <w:szCs w:val="16"/>
              </w:rPr>
              <w:t>2024</w:t>
            </w:r>
          </w:p>
        </w:tc>
        <w:tc>
          <w:tcPr>
            <w:tcW w:w="527" w:type="pct"/>
          </w:tcPr>
          <w:p w14:paraId="42EC3832" w14:textId="77E340F4" w:rsidR="00942646" w:rsidRPr="00942646" w:rsidRDefault="00600426" w:rsidP="00AC1FC1">
            <w:pPr>
              <w:rPr>
                <w:sz w:val="16"/>
                <w:szCs w:val="16"/>
              </w:rPr>
            </w:pPr>
            <w:r>
              <w:rPr>
                <w:sz w:val="16"/>
                <w:szCs w:val="16"/>
              </w:rPr>
              <w:t>2025</w:t>
            </w:r>
          </w:p>
        </w:tc>
        <w:tc>
          <w:tcPr>
            <w:tcW w:w="1622" w:type="pct"/>
            <w:shd w:val="clear" w:color="auto" w:fill="auto"/>
          </w:tcPr>
          <w:p w14:paraId="68EF0491" w14:textId="3F47DCBE" w:rsidR="00942646" w:rsidRPr="00942646" w:rsidRDefault="00942646" w:rsidP="00AC1FC1">
            <w:pPr>
              <w:rPr>
                <w:sz w:val="16"/>
                <w:szCs w:val="16"/>
              </w:rPr>
            </w:pPr>
            <w:r w:rsidRPr="00942646">
              <w:rPr>
                <w:sz w:val="16"/>
                <w:szCs w:val="16"/>
              </w:rPr>
              <w:t>Sources de vérification</w:t>
            </w:r>
          </w:p>
        </w:tc>
      </w:tr>
      <w:tr w:rsidR="00942646" w:rsidRPr="00942646" w14:paraId="0F77B2AE" w14:textId="77777777" w:rsidTr="00942646">
        <w:tc>
          <w:tcPr>
            <w:tcW w:w="1070" w:type="pct"/>
            <w:shd w:val="clear" w:color="auto" w:fill="D5DCE4"/>
          </w:tcPr>
          <w:p w14:paraId="725432F0" w14:textId="2F340AF3" w:rsidR="00942646" w:rsidRPr="00942646" w:rsidRDefault="00942646" w:rsidP="00AC1FC1">
            <w:pPr>
              <w:rPr>
                <w:sz w:val="16"/>
                <w:szCs w:val="16"/>
              </w:rPr>
            </w:pPr>
            <w:r w:rsidRPr="00942646">
              <w:rPr>
                <w:sz w:val="16"/>
                <w:szCs w:val="16"/>
              </w:rPr>
              <w:t>Objectif  général</w:t>
            </w:r>
          </w:p>
        </w:tc>
        <w:tc>
          <w:tcPr>
            <w:tcW w:w="3930" w:type="pct"/>
            <w:gridSpan w:val="5"/>
            <w:shd w:val="clear" w:color="auto" w:fill="D5DCE4"/>
          </w:tcPr>
          <w:p w14:paraId="7635F7FE" w14:textId="14BAD3DC" w:rsidR="00565FA5" w:rsidRPr="00942646" w:rsidRDefault="00D10BCB" w:rsidP="00AC1FC1">
            <w:pPr>
              <w:rPr>
                <w:sz w:val="16"/>
                <w:szCs w:val="16"/>
              </w:rPr>
            </w:pPr>
            <w:r>
              <w:rPr>
                <w:sz w:val="16"/>
                <w:szCs w:val="16"/>
              </w:rPr>
              <w:t>S</w:t>
            </w:r>
            <w:r w:rsidR="00565FA5" w:rsidRPr="00D10BCB">
              <w:rPr>
                <w:sz w:val="16"/>
                <w:szCs w:val="16"/>
              </w:rPr>
              <w:t>outenir la politique belge en matière de systèmes alimentaires durables, de sécurité alimentaire et de nutrition dans le cadre de la coopération au développement en renforçant la capacité et l'expertise de ses membres, en stimulant la coopération entre tous les acteurs impliqués dans la coopération belge au développement, développant des activités de sensibilisation et des conseils politiques au travers de synthèse ou d’avis.</w:t>
            </w:r>
          </w:p>
        </w:tc>
      </w:tr>
      <w:tr w:rsidR="00942646" w:rsidRPr="00942646" w14:paraId="645DD204" w14:textId="77777777" w:rsidTr="00942646">
        <w:tc>
          <w:tcPr>
            <w:tcW w:w="1070" w:type="pct"/>
            <w:shd w:val="clear" w:color="auto" w:fill="D5DCE4"/>
          </w:tcPr>
          <w:p w14:paraId="7E0E63CC" w14:textId="57354E02" w:rsidR="00942646" w:rsidRPr="00942646" w:rsidRDefault="00942646" w:rsidP="00AC1FC1">
            <w:pPr>
              <w:rPr>
                <w:sz w:val="16"/>
                <w:szCs w:val="16"/>
              </w:rPr>
            </w:pPr>
            <w:r w:rsidRPr="00942646">
              <w:rPr>
                <w:sz w:val="16"/>
                <w:szCs w:val="16"/>
              </w:rPr>
              <w:t>Objectif spécifique</w:t>
            </w:r>
          </w:p>
        </w:tc>
        <w:tc>
          <w:tcPr>
            <w:tcW w:w="3930" w:type="pct"/>
            <w:gridSpan w:val="5"/>
            <w:shd w:val="clear" w:color="auto" w:fill="D5DCE4"/>
          </w:tcPr>
          <w:p w14:paraId="091777DB" w14:textId="79C46A60" w:rsidR="00942646" w:rsidRPr="00942646" w:rsidRDefault="00942646" w:rsidP="00AC1FC1">
            <w:pPr>
              <w:rPr>
                <w:sz w:val="16"/>
                <w:szCs w:val="16"/>
              </w:rPr>
            </w:pPr>
            <w:r w:rsidRPr="00942646">
              <w:rPr>
                <w:sz w:val="16"/>
                <w:szCs w:val="16"/>
              </w:rPr>
              <w:t>Les  acteurs de la coopération au développement dans le secteur de l’agriculture et de la sécurité alimentaire voient leurs capacités renforcées au travers de la participation à un espace spécifique d’échange et de recherche de synergies et complémentarités.</w:t>
            </w:r>
          </w:p>
        </w:tc>
      </w:tr>
      <w:tr w:rsidR="00942646" w:rsidRPr="00942646" w14:paraId="20A6D48C" w14:textId="77777777" w:rsidTr="00942646">
        <w:tc>
          <w:tcPr>
            <w:tcW w:w="1070" w:type="pct"/>
            <w:shd w:val="clear" w:color="auto" w:fill="D5DCE4"/>
          </w:tcPr>
          <w:p w14:paraId="7E4ECBE6" w14:textId="32FE9358" w:rsidR="00942646" w:rsidRPr="00942646" w:rsidRDefault="00942646" w:rsidP="00AC1FC1">
            <w:pPr>
              <w:rPr>
                <w:sz w:val="16"/>
                <w:szCs w:val="16"/>
              </w:rPr>
            </w:pPr>
            <w:r w:rsidRPr="00942646">
              <w:rPr>
                <w:sz w:val="16"/>
                <w:szCs w:val="16"/>
              </w:rPr>
              <w:t xml:space="preserve">Résultat </w:t>
            </w:r>
          </w:p>
        </w:tc>
        <w:tc>
          <w:tcPr>
            <w:tcW w:w="3930" w:type="pct"/>
            <w:gridSpan w:val="5"/>
            <w:shd w:val="clear" w:color="auto" w:fill="D5DCE4"/>
          </w:tcPr>
          <w:p w14:paraId="5EB6AA0E" w14:textId="25CBA0E1" w:rsidR="00942646" w:rsidRPr="00942646" w:rsidRDefault="00942646" w:rsidP="00AC1FC1">
            <w:pPr>
              <w:rPr>
                <w:sz w:val="16"/>
                <w:szCs w:val="16"/>
              </w:rPr>
            </w:pPr>
            <w:r w:rsidRPr="00942646">
              <w:rPr>
                <w:sz w:val="16"/>
                <w:szCs w:val="16"/>
              </w:rPr>
              <w:t xml:space="preserve">Les  acteurs de la coopération au développement dans le secteur de l’agriculture et de la sécurité alimentaire se réunissent trois </w:t>
            </w:r>
            <w:r w:rsidR="00600426">
              <w:rPr>
                <w:sz w:val="16"/>
                <w:szCs w:val="16"/>
              </w:rPr>
              <w:t xml:space="preserve">fois </w:t>
            </w:r>
            <w:r w:rsidRPr="00942646">
              <w:rPr>
                <w:sz w:val="16"/>
                <w:szCs w:val="16"/>
              </w:rPr>
              <w:t>par an entre 2023 et 2025.</w:t>
            </w:r>
          </w:p>
        </w:tc>
      </w:tr>
      <w:tr w:rsidR="00942646" w:rsidRPr="00942646" w14:paraId="61EB21CB" w14:textId="77777777" w:rsidTr="00942646">
        <w:tc>
          <w:tcPr>
            <w:tcW w:w="1070" w:type="pct"/>
            <w:shd w:val="clear" w:color="auto" w:fill="D5DCE4"/>
          </w:tcPr>
          <w:p w14:paraId="3B34C332" w14:textId="77777777" w:rsidR="00942646" w:rsidRPr="00942646" w:rsidRDefault="00942646" w:rsidP="00AC1FC1">
            <w:pPr>
              <w:rPr>
                <w:sz w:val="16"/>
                <w:szCs w:val="16"/>
              </w:rPr>
            </w:pPr>
            <w:r w:rsidRPr="00942646">
              <w:rPr>
                <w:sz w:val="16"/>
                <w:szCs w:val="16"/>
              </w:rPr>
              <w:t>Hypothèse</w:t>
            </w:r>
          </w:p>
        </w:tc>
        <w:tc>
          <w:tcPr>
            <w:tcW w:w="3930" w:type="pct"/>
            <w:gridSpan w:val="5"/>
            <w:shd w:val="clear" w:color="auto" w:fill="D5DCE4"/>
          </w:tcPr>
          <w:p w14:paraId="723121D0" w14:textId="4D48CE07" w:rsidR="00942646" w:rsidRPr="00942646" w:rsidRDefault="00942646" w:rsidP="00942646">
            <w:pPr>
              <w:rPr>
                <w:sz w:val="16"/>
                <w:szCs w:val="16"/>
              </w:rPr>
            </w:pPr>
            <w:r w:rsidRPr="00942646">
              <w:rPr>
                <w:sz w:val="16"/>
                <w:szCs w:val="16"/>
              </w:rPr>
              <w:t>Les acteurs concernés disposent de ressources suffisantes pour s’impliquer dans les travaux de la PASA.</w:t>
            </w:r>
          </w:p>
        </w:tc>
      </w:tr>
      <w:tr w:rsidR="00942646" w:rsidRPr="00942646" w14:paraId="08755302" w14:textId="77777777" w:rsidTr="00600426">
        <w:tc>
          <w:tcPr>
            <w:tcW w:w="1070" w:type="pct"/>
            <w:shd w:val="clear" w:color="auto" w:fill="auto"/>
          </w:tcPr>
          <w:p w14:paraId="147C650E" w14:textId="4A267BBD" w:rsidR="00942646" w:rsidRPr="00942646" w:rsidRDefault="00942646" w:rsidP="00600426">
            <w:pPr>
              <w:rPr>
                <w:sz w:val="16"/>
                <w:szCs w:val="16"/>
              </w:rPr>
            </w:pPr>
            <w:r w:rsidRPr="00942646">
              <w:rPr>
                <w:sz w:val="16"/>
                <w:szCs w:val="16"/>
              </w:rPr>
              <w:t>Indicateur 1</w:t>
            </w:r>
            <w:r w:rsidR="00600426">
              <w:rPr>
                <w:sz w:val="16"/>
                <w:szCs w:val="16"/>
              </w:rPr>
              <w:t xml:space="preserve"> : </w:t>
            </w:r>
            <w:r w:rsidRPr="00942646">
              <w:rPr>
                <w:sz w:val="16"/>
                <w:szCs w:val="16"/>
              </w:rPr>
              <w:t xml:space="preserve"># </w:t>
            </w:r>
            <w:r>
              <w:rPr>
                <w:sz w:val="16"/>
                <w:szCs w:val="16"/>
              </w:rPr>
              <w:t xml:space="preserve">réunions </w:t>
            </w:r>
          </w:p>
        </w:tc>
        <w:tc>
          <w:tcPr>
            <w:tcW w:w="520" w:type="pct"/>
            <w:shd w:val="clear" w:color="auto" w:fill="auto"/>
          </w:tcPr>
          <w:p w14:paraId="033D8AAE" w14:textId="5639E4B4" w:rsidR="00942646" w:rsidRPr="00942646" w:rsidRDefault="00942646" w:rsidP="00AC1FC1">
            <w:pPr>
              <w:rPr>
                <w:sz w:val="16"/>
                <w:szCs w:val="16"/>
              </w:rPr>
            </w:pPr>
            <w:r w:rsidRPr="00942646">
              <w:rPr>
                <w:sz w:val="16"/>
                <w:szCs w:val="16"/>
              </w:rPr>
              <w:t>0</w:t>
            </w:r>
          </w:p>
        </w:tc>
        <w:tc>
          <w:tcPr>
            <w:tcW w:w="585" w:type="pct"/>
            <w:shd w:val="clear" w:color="auto" w:fill="auto"/>
          </w:tcPr>
          <w:p w14:paraId="6AFDD85A" w14:textId="6E062256" w:rsidR="00942646" w:rsidRPr="00942646" w:rsidRDefault="00600426" w:rsidP="00AC1FC1">
            <w:pPr>
              <w:rPr>
                <w:sz w:val="16"/>
                <w:szCs w:val="16"/>
              </w:rPr>
            </w:pPr>
            <w:r>
              <w:rPr>
                <w:sz w:val="16"/>
                <w:szCs w:val="16"/>
              </w:rPr>
              <w:t>3</w:t>
            </w:r>
          </w:p>
        </w:tc>
        <w:tc>
          <w:tcPr>
            <w:tcW w:w="676" w:type="pct"/>
            <w:shd w:val="clear" w:color="auto" w:fill="auto"/>
          </w:tcPr>
          <w:p w14:paraId="2761D5CE" w14:textId="08796C2B" w:rsidR="00942646" w:rsidRPr="00942646" w:rsidRDefault="00600426" w:rsidP="00AC1FC1">
            <w:pPr>
              <w:rPr>
                <w:sz w:val="16"/>
                <w:szCs w:val="16"/>
              </w:rPr>
            </w:pPr>
            <w:r>
              <w:rPr>
                <w:sz w:val="16"/>
                <w:szCs w:val="16"/>
              </w:rPr>
              <w:t>3</w:t>
            </w:r>
          </w:p>
        </w:tc>
        <w:tc>
          <w:tcPr>
            <w:tcW w:w="527" w:type="pct"/>
          </w:tcPr>
          <w:p w14:paraId="2495B293" w14:textId="35375CE7" w:rsidR="00942646" w:rsidRPr="00942646" w:rsidRDefault="00600426" w:rsidP="00AC1FC1">
            <w:pPr>
              <w:rPr>
                <w:sz w:val="16"/>
                <w:szCs w:val="16"/>
              </w:rPr>
            </w:pPr>
            <w:r>
              <w:rPr>
                <w:sz w:val="16"/>
                <w:szCs w:val="16"/>
              </w:rPr>
              <w:t>3</w:t>
            </w:r>
          </w:p>
        </w:tc>
        <w:tc>
          <w:tcPr>
            <w:tcW w:w="1622" w:type="pct"/>
            <w:shd w:val="clear" w:color="auto" w:fill="auto"/>
          </w:tcPr>
          <w:p w14:paraId="6F5419F9" w14:textId="68BAD90D" w:rsidR="00942646" w:rsidRPr="00942646" w:rsidRDefault="00600426" w:rsidP="00AC1FC1">
            <w:pPr>
              <w:rPr>
                <w:sz w:val="16"/>
                <w:szCs w:val="16"/>
              </w:rPr>
            </w:pPr>
            <w:r>
              <w:rPr>
                <w:sz w:val="16"/>
                <w:szCs w:val="16"/>
              </w:rPr>
              <w:t>PV</w:t>
            </w:r>
          </w:p>
        </w:tc>
      </w:tr>
      <w:tr w:rsidR="00942646" w:rsidRPr="00942646" w14:paraId="48AC8BF4" w14:textId="77777777" w:rsidTr="00600426">
        <w:tc>
          <w:tcPr>
            <w:tcW w:w="1070" w:type="pct"/>
            <w:shd w:val="clear" w:color="auto" w:fill="auto"/>
          </w:tcPr>
          <w:p w14:paraId="6A947E9C" w14:textId="054A2D17" w:rsidR="00942646" w:rsidRPr="00942646" w:rsidRDefault="00942646" w:rsidP="00AC1FC1">
            <w:pPr>
              <w:rPr>
                <w:sz w:val="16"/>
                <w:szCs w:val="16"/>
              </w:rPr>
            </w:pPr>
            <w:r w:rsidRPr="00942646">
              <w:rPr>
                <w:sz w:val="16"/>
                <w:szCs w:val="16"/>
              </w:rPr>
              <w:t>Indicateur 2</w:t>
            </w:r>
            <w:r w:rsidR="00600426">
              <w:rPr>
                <w:sz w:val="16"/>
                <w:szCs w:val="16"/>
              </w:rPr>
              <w:t xml:space="preserve"> : # </w:t>
            </w:r>
            <w:r w:rsidR="003B5009">
              <w:rPr>
                <w:sz w:val="16"/>
                <w:szCs w:val="16"/>
              </w:rPr>
              <w:t xml:space="preserve">moyen </w:t>
            </w:r>
            <w:r w:rsidR="00600426">
              <w:rPr>
                <w:sz w:val="16"/>
                <w:szCs w:val="16"/>
              </w:rPr>
              <w:t>participants par réunion</w:t>
            </w:r>
          </w:p>
        </w:tc>
        <w:tc>
          <w:tcPr>
            <w:tcW w:w="520" w:type="pct"/>
            <w:shd w:val="clear" w:color="auto" w:fill="auto"/>
          </w:tcPr>
          <w:p w14:paraId="5DCA0E25" w14:textId="37CA1A2F" w:rsidR="00942646" w:rsidRPr="00942646" w:rsidRDefault="00942646" w:rsidP="00AC1FC1">
            <w:pPr>
              <w:rPr>
                <w:sz w:val="16"/>
                <w:szCs w:val="16"/>
              </w:rPr>
            </w:pPr>
            <w:r w:rsidRPr="00942646">
              <w:rPr>
                <w:sz w:val="16"/>
                <w:szCs w:val="16"/>
              </w:rPr>
              <w:t>0</w:t>
            </w:r>
          </w:p>
        </w:tc>
        <w:tc>
          <w:tcPr>
            <w:tcW w:w="585" w:type="pct"/>
            <w:shd w:val="clear" w:color="auto" w:fill="auto"/>
          </w:tcPr>
          <w:p w14:paraId="2B8D9BBA" w14:textId="52DDB6A9" w:rsidR="00942646" w:rsidRPr="00942646" w:rsidRDefault="003B5009" w:rsidP="00AC1FC1">
            <w:pPr>
              <w:rPr>
                <w:sz w:val="16"/>
                <w:szCs w:val="16"/>
              </w:rPr>
            </w:pPr>
            <w:r>
              <w:rPr>
                <w:sz w:val="16"/>
                <w:szCs w:val="16"/>
              </w:rPr>
              <w:t>10</w:t>
            </w:r>
          </w:p>
        </w:tc>
        <w:tc>
          <w:tcPr>
            <w:tcW w:w="676" w:type="pct"/>
            <w:shd w:val="clear" w:color="auto" w:fill="auto"/>
          </w:tcPr>
          <w:p w14:paraId="729BF2D4" w14:textId="109381C6" w:rsidR="00942646" w:rsidRPr="00942646" w:rsidRDefault="003B5009" w:rsidP="00AC1FC1">
            <w:pPr>
              <w:rPr>
                <w:sz w:val="16"/>
                <w:szCs w:val="16"/>
              </w:rPr>
            </w:pPr>
            <w:r>
              <w:rPr>
                <w:sz w:val="16"/>
                <w:szCs w:val="16"/>
              </w:rPr>
              <w:t>12</w:t>
            </w:r>
          </w:p>
        </w:tc>
        <w:tc>
          <w:tcPr>
            <w:tcW w:w="527" w:type="pct"/>
          </w:tcPr>
          <w:p w14:paraId="550BCA93" w14:textId="4A79F92D" w:rsidR="00942646" w:rsidRPr="00942646" w:rsidRDefault="003B5009" w:rsidP="00AC1FC1">
            <w:pPr>
              <w:rPr>
                <w:sz w:val="16"/>
                <w:szCs w:val="16"/>
              </w:rPr>
            </w:pPr>
            <w:r>
              <w:rPr>
                <w:sz w:val="16"/>
                <w:szCs w:val="16"/>
              </w:rPr>
              <w:t>15</w:t>
            </w:r>
          </w:p>
        </w:tc>
        <w:tc>
          <w:tcPr>
            <w:tcW w:w="1622" w:type="pct"/>
            <w:shd w:val="clear" w:color="auto" w:fill="auto"/>
          </w:tcPr>
          <w:p w14:paraId="63BF9B0F" w14:textId="7032754E" w:rsidR="00942646" w:rsidRPr="00942646" w:rsidRDefault="00942646" w:rsidP="00AC1FC1">
            <w:pPr>
              <w:rPr>
                <w:sz w:val="16"/>
                <w:szCs w:val="16"/>
              </w:rPr>
            </w:pPr>
            <w:r w:rsidRPr="00942646">
              <w:rPr>
                <w:sz w:val="16"/>
                <w:szCs w:val="16"/>
              </w:rPr>
              <w:t>Liste de présences</w:t>
            </w:r>
          </w:p>
        </w:tc>
      </w:tr>
    </w:tbl>
    <w:p w14:paraId="4015F168" w14:textId="1810D00C" w:rsidR="00733D5A" w:rsidRDefault="00DC45BD" w:rsidP="00AC1FC1">
      <w:pPr>
        <w:pStyle w:val="Heading1"/>
      </w:pPr>
      <w:bookmarkStart w:id="13" w:name="_Toc136943610"/>
      <w:bookmarkStart w:id="14" w:name="_Toc141438377"/>
      <w:bookmarkEnd w:id="12"/>
      <w:r>
        <w:t>Du</w:t>
      </w:r>
      <w:r w:rsidR="00733D5A">
        <w:t>rabilité</w:t>
      </w:r>
      <w:bookmarkEnd w:id="13"/>
      <w:r w:rsidR="001A4594">
        <w:t xml:space="preserve"> &amp; gestion des risques</w:t>
      </w:r>
      <w:bookmarkEnd w:id="14"/>
    </w:p>
    <w:p w14:paraId="24DB0B88" w14:textId="77777777" w:rsidR="00733D5A" w:rsidRDefault="00733D5A" w:rsidP="00AC1FC1">
      <w:pPr>
        <w:rPr>
          <w:lang w:val="fr-FR"/>
        </w:rPr>
      </w:pPr>
    </w:p>
    <w:p w14:paraId="10209400" w14:textId="3D38F027" w:rsidR="002B7B79" w:rsidRDefault="002B7B79" w:rsidP="00AC1FC1">
      <w:pPr>
        <w:rPr>
          <w:lang w:val="fr-FR"/>
        </w:rPr>
      </w:pPr>
      <w:r>
        <w:rPr>
          <w:lang w:val="fr-FR"/>
        </w:rPr>
        <w:t>Durabilité technique et financière : l</w:t>
      </w:r>
      <w:r w:rsidR="005A0CAE">
        <w:rPr>
          <w:lang w:val="fr-FR"/>
        </w:rPr>
        <w:t xml:space="preserve">a mise en œuvre des tâches confiées </w:t>
      </w:r>
      <w:r w:rsidR="00BD18FF">
        <w:rPr>
          <w:lang w:val="fr-FR"/>
        </w:rPr>
        <w:t>dépend</w:t>
      </w:r>
      <w:r w:rsidR="005A0CAE">
        <w:rPr>
          <w:lang w:val="fr-FR"/>
        </w:rPr>
        <w:t xml:space="preserve"> du prés</w:t>
      </w:r>
      <w:r>
        <w:rPr>
          <w:lang w:val="fr-FR"/>
        </w:rPr>
        <w:t>e</w:t>
      </w:r>
      <w:r w:rsidR="005A0CAE">
        <w:rPr>
          <w:lang w:val="fr-FR"/>
        </w:rPr>
        <w:t>nt financement. Cependant, le</w:t>
      </w:r>
      <w:r>
        <w:rPr>
          <w:lang w:val="fr-FR"/>
        </w:rPr>
        <w:t xml:space="preserve"> CNCD-11.11.11 dispose d’une assise financière suffisante, y compris via une diversification </w:t>
      </w:r>
      <w:r w:rsidR="005A0CAE">
        <w:rPr>
          <w:lang w:val="fr-FR"/>
        </w:rPr>
        <w:t xml:space="preserve">de ses sources de financement, pour assurer un </w:t>
      </w:r>
      <w:r w:rsidR="00085D7E">
        <w:rPr>
          <w:lang w:val="fr-FR"/>
        </w:rPr>
        <w:t>suivi à long terme des recommandations issues de la PASA dans son plaidoyer plus large pour la coopération au développement et la souveraineté alimentaire et ce, au-delà du présent financement.</w:t>
      </w:r>
    </w:p>
    <w:p w14:paraId="052E333C" w14:textId="2A4A9F2A" w:rsidR="00085D7E" w:rsidRDefault="00085D7E" w:rsidP="00AC1FC1">
      <w:pPr>
        <w:rPr>
          <w:lang w:val="fr-FR"/>
        </w:rPr>
      </w:pPr>
      <w:r>
        <w:rPr>
          <w:lang w:val="fr-FR"/>
        </w:rPr>
        <w:t xml:space="preserve">Durabilité environnementale : </w:t>
      </w:r>
      <w:r w:rsidR="00DB32A6">
        <w:rPr>
          <w:lang w:val="fr-FR"/>
        </w:rPr>
        <w:t xml:space="preserve">s’agissant principalement de l’organisation de réunions à Bruxelles entre acteurs belges, le projet est en soi peu consommateur de ressource. Il a </w:t>
      </w:r>
      <w:r w:rsidR="00BD18FF">
        <w:rPr>
          <w:lang w:val="fr-FR"/>
        </w:rPr>
        <w:t>cependant</w:t>
      </w:r>
      <w:r w:rsidR="00DB32A6">
        <w:rPr>
          <w:lang w:val="fr-FR"/>
        </w:rPr>
        <w:t xml:space="preserve"> un grand potentiel pour améliorer le durabilité environnementale des projets de coopération des acteurs concernés, en nourrissant leurs réflexions pour </w:t>
      </w:r>
      <w:r w:rsidR="00FA7A40">
        <w:rPr>
          <w:lang w:val="fr-FR"/>
        </w:rPr>
        <w:t>inscrire leurs stratégies dans une logique de systèmes alimentaires durables.</w:t>
      </w:r>
    </w:p>
    <w:tbl>
      <w:tblPr>
        <w:tblW w:w="8986" w:type="dxa"/>
        <w:tblLayout w:type="fixed"/>
        <w:tblCellMar>
          <w:top w:w="55" w:type="dxa"/>
          <w:left w:w="55" w:type="dxa"/>
          <w:bottom w:w="55" w:type="dxa"/>
          <w:right w:w="55" w:type="dxa"/>
        </w:tblCellMar>
        <w:tblLook w:val="0000" w:firstRow="0" w:lastRow="0" w:firstColumn="0" w:lastColumn="0" w:noHBand="0" w:noVBand="0"/>
      </w:tblPr>
      <w:tblGrid>
        <w:gridCol w:w="2307"/>
        <w:gridCol w:w="243"/>
        <w:gridCol w:w="216"/>
        <w:gridCol w:w="249"/>
        <w:gridCol w:w="951"/>
        <w:gridCol w:w="3744"/>
        <w:gridCol w:w="1276"/>
      </w:tblGrid>
      <w:tr w:rsidR="00CC794B" w:rsidRPr="00756E21" w14:paraId="1E86AB9D" w14:textId="77777777" w:rsidTr="006A4F8A">
        <w:tc>
          <w:tcPr>
            <w:tcW w:w="3966" w:type="dxa"/>
            <w:gridSpan w:val="5"/>
            <w:tcBorders>
              <w:top w:val="single" w:sz="1" w:space="0" w:color="000000"/>
              <w:left w:val="single" w:sz="1" w:space="0" w:color="000000"/>
              <w:bottom w:val="single" w:sz="1" w:space="0" w:color="000000"/>
            </w:tcBorders>
            <w:shd w:val="clear" w:color="auto" w:fill="auto"/>
          </w:tcPr>
          <w:p w14:paraId="329C80B2" w14:textId="77777777" w:rsidR="00CC794B" w:rsidRPr="00756E21" w:rsidRDefault="00CC794B" w:rsidP="00756E21">
            <w:pPr>
              <w:spacing w:after="0"/>
              <w:rPr>
                <w:sz w:val="20"/>
                <w:szCs w:val="20"/>
              </w:rPr>
            </w:pPr>
            <w:r w:rsidRPr="00756E21">
              <w:rPr>
                <w:sz w:val="20"/>
                <w:szCs w:val="20"/>
              </w:rPr>
              <w:t>Estimation du risque</w:t>
            </w:r>
          </w:p>
        </w:tc>
        <w:tc>
          <w:tcPr>
            <w:tcW w:w="5020" w:type="dxa"/>
            <w:gridSpan w:val="2"/>
            <w:tcBorders>
              <w:top w:val="single" w:sz="1" w:space="0" w:color="000000"/>
              <w:left w:val="single" w:sz="1" w:space="0" w:color="000000"/>
              <w:bottom w:val="single" w:sz="1" w:space="0" w:color="000000"/>
              <w:right w:val="single" w:sz="4" w:space="0" w:color="auto"/>
            </w:tcBorders>
            <w:shd w:val="clear" w:color="auto" w:fill="auto"/>
          </w:tcPr>
          <w:p w14:paraId="39020BAD" w14:textId="77777777" w:rsidR="00CC794B" w:rsidRPr="00756E21" w:rsidRDefault="00CC794B" w:rsidP="00756E21">
            <w:pPr>
              <w:spacing w:after="0"/>
              <w:rPr>
                <w:sz w:val="20"/>
                <w:szCs w:val="20"/>
              </w:rPr>
            </w:pPr>
            <w:r w:rsidRPr="00756E21">
              <w:rPr>
                <w:sz w:val="20"/>
                <w:szCs w:val="20"/>
              </w:rPr>
              <w:t>Gestion du risque</w:t>
            </w:r>
          </w:p>
        </w:tc>
      </w:tr>
      <w:tr w:rsidR="00CC794B" w:rsidRPr="00756E21" w14:paraId="55B43D8A" w14:textId="77777777" w:rsidTr="006A4F8A">
        <w:tc>
          <w:tcPr>
            <w:tcW w:w="2307" w:type="dxa"/>
            <w:tcBorders>
              <w:left w:val="single" w:sz="1" w:space="0" w:color="000000"/>
              <w:bottom w:val="single" w:sz="1" w:space="0" w:color="000000"/>
            </w:tcBorders>
            <w:shd w:val="clear" w:color="auto" w:fill="auto"/>
          </w:tcPr>
          <w:p w14:paraId="2F726F9E" w14:textId="77777777" w:rsidR="00CC794B" w:rsidRPr="00756E21" w:rsidRDefault="00CC794B" w:rsidP="00756E21">
            <w:pPr>
              <w:spacing w:after="0"/>
              <w:rPr>
                <w:sz w:val="20"/>
                <w:szCs w:val="20"/>
              </w:rPr>
            </w:pPr>
            <w:r w:rsidRPr="00756E21">
              <w:rPr>
                <w:sz w:val="20"/>
                <w:szCs w:val="20"/>
              </w:rPr>
              <w:t>Nature et source du risque</w:t>
            </w:r>
          </w:p>
        </w:tc>
        <w:tc>
          <w:tcPr>
            <w:tcW w:w="243" w:type="dxa"/>
            <w:tcBorders>
              <w:left w:val="single" w:sz="1" w:space="0" w:color="000000"/>
              <w:bottom w:val="single" w:sz="1" w:space="0" w:color="000000"/>
            </w:tcBorders>
            <w:shd w:val="clear" w:color="auto" w:fill="auto"/>
          </w:tcPr>
          <w:p w14:paraId="5430C21C" w14:textId="77777777" w:rsidR="00CC794B" w:rsidRPr="00756E21" w:rsidRDefault="00CC794B" w:rsidP="00756E21">
            <w:pPr>
              <w:spacing w:after="0"/>
              <w:rPr>
                <w:sz w:val="20"/>
                <w:szCs w:val="20"/>
              </w:rPr>
            </w:pPr>
            <w:r w:rsidRPr="00756E21">
              <w:rPr>
                <w:sz w:val="20"/>
                <w:szCs w:val="20"/>
              </w:rPr>
              <w:t>P</w:t>
            </w:r>
          </w:p>
          <w:p w14:paraId="6D939179" w14:textId="77777777" w:rsidR="00CC794B" w:rsidRPr="00756E21" w:rsidRDefault="00CC794B" w:rsidP="00756E21">
            <w:pPr>
              <w:spacing w:after="0"/>
              <w:rPr>
                <w:sz w:val="20"/>
                <w:szCs w:val="20"/>
              </w:rPr>
            </w:pPr>
          </w:p>
        </w:tc>
        <w:tc>
          <w:tcPr>
            <w:tcW w:w="216" w:type="dxa"/>
            <w:tcBorders>
              <w:left w:val="single" w:sz="1" w:space="0" w:color="000000"/>
              <w:bottom w:val="single" w:sz="1" w:space="0" w:color="000000"/>
            </w:tcBorders>
            <w:shd w:val="clear" w:color="auto" w:fill="auto"/>
          </w:tcPr>
          <w:p w14:paraId="5140BEF9" w14:textId="77777777" w:rsidR="00CC794B" w:rsidRPr="00756E21" w:rsidRDefault="00CC794B" w:rsidP="00756E21">
            <w:pPr>
              <w:spacing w:after="0"/>
              <w:rPr>
                <w:sz w:val="20"/>
                <w:szCs w:val="20"/>
              </w:rPr>
            </w:pPr>
            <w:r w:rsidRPr="00756E21">
              <w:rPr>
                <w:sz w:val="20"/>
                <w:szCs w:val="20"/>
              </w:rPr>
              <w:t>E</w:t>
            </w:r>
          </w:p>
        </w:tc>
        <w:tc>
          <w:tcPr>
            <w:tcW w:w="249" w:type="dxa"/>
            <w:tcBorders>
              <w:left w:val="single" w:sz="1" w:space="0" w:color="000000"/>
              <w:bottom w:val="single" w:sz="1" w:space="0" w:color="000000"/>
            </w:tcBorders>
            <w:shd w:val="clear" w:color="auto" w:fill="auto"/>
          </w:tcPr>
          <w:p w14:paraId="3BEB4594" w14:textId="77777777" w:rsidR="00CC794B" w:rsidRPr="00756E21" w:rsidRDefault="00CC794B" w:rsidP="00756E21">
            <w:pPr>
              <w:spacing w:after="0"/>
              <w:rPr>
                <w:sz w:val="20"/>
                <w:szCs w:val="20"/>
              </w:rPr>
            </w:pPr>
            <w:r w:rsidRPr="00756E21">
              <w:rPr>
                <w:sz w:val="20"/>
                <w:szCs w:val="20"/>
              </w:rPr>
              <w:t>N</w:t>
            </w:r>
          </w:p>
        </w:tc>
        <w:tc>
          <w:tcPr>
            <w:tcW w:w="951" w:type="dxa"/>
            <w:tcBorders>
              <w:left w:val="single" w:sz="1" w:space="0" w:color="000000"/>
              <w:bottom w:val="single" w:sz="1" w:space="0" w:color="000000"/>
            </w:tcBorders>
            <w:shd w:val="clear" w:color="auto" w:fill="auto"/>
          </w:tcPr>
          <w:p w14:paraId="4BD9008D" w14:textId="77777777" w:rsidR="00CC794B" w:rsidRPr="00756E21" w:rsidRDefault="00CC794B" w:rsidP="00756E21">
            <w:pPr>
              <w:spacing w:after="0"/>
              <w:rPr>
                <w:sz w:val="20"/>
                <w:szCs w:val="20"/>
              </w:rPr>
            </w:pPr>
            <w:r w:rsidRPr="00756E21">
              <w:rPr>
                <w:sz w:val="20"/>
                <w:szCs w:val="20"/>
              </w:rPr>
              <w:t>Résultats impactés</w:t>
            </w:r>
          </w:p>
        </w:tc>
        <w:tc>
          <w:tcPr>
            <w:tcW w:w="3744" w:type="dxa"/>
            <w:tcBorders>
              <w:left w:val="single" w:sz="1" w:space="0" w:color="000000"/>
              <w:bottom w:val="single" w:sz="1" w:space="0" w:color="000000"/>
            </w:tcBorders>
            <w:shd w:val="clear" w:color="auto" w:fill="auto"/>
          </w:tcPr>
          <w:p w14:paraId="5EF70D7E" w14:textId="77777777" w:rsidR="00CC794B" w:rsidRPr="00756E21" w:rsidRDefault="00CC794B" w:rsidP="00756E21">
            <w:pPr>
              <w:spacing w:after="0"/>
              <w:rPr>
                <w:sz w:val="20"/>
                <w:szCs w:val="20"/>
              </w:rPr>
            </w:pPr>
            <w:r w:rsidRPr="00756E21">
              <w:rPr>
                <w:sz w:val="20"/>
                <w:szCs w:val="20"/>
              </w:rPr>
              <w:t>Traitement</w:t>
            </w:r>
          </w:p>
        </w:tc>
        <w:tc>
          <w:tcPr>
            <w:tcW w:w="1276" w:type="dxa"/>
            <w:tcBorders>
              <w:left w:val="single" w:sz="1" w:space="0" w:color="000000"/>
              <w:bottom w:val="single" w:sz="1" w:space="0" w:color="000000"/>
              <w:right w:val="single" w:sz="4" w:space="0" w:color="auto"/>
            </w:tcBorders>
            <w:shd w:val="clear" w:color="auto" w:fill="auto"/>
          </w:tcPr>
          <w:p w14:paraId="46CD86AC" w14:textId="77777777" w:rsidR="00CC794B" w:rsidRPr="00756E21" w:rsidRDefault="00CC794B" w:rsidP="00756E21">
            <w:pPr>
              <w:spacing w:after="0"/>
              <w:rPr>
                <w:sz w:val="20"/>
                <w:szCs w:val="20"/>
              </w:rPr>
            </w:pPr>
            <w:r w:rsidRPr="00756E21">
              <w:rPr>
                <w:sz w:val="20"/>
                <w:szCs w:val="20"/>
              </w:rPr>
              <w:t>Responsable du suivi du risque</w:t>
            </w:r>
          </w:p>
        </w:tc>
      </w:tr>
      <w:tr w:rsidR="00CC794B" w:rsidRPr="00756E21" w14:paraId="357E55D2" w14:textId="77777777" w:rsidTr="006A4F8A">
        <w:tc>
          <w:tcPr>
            <w:tcW w:w="2307" w:type="dxa"/>
            <w:tcBorders>
              <w:top w:val="single" w:sz="4" w:space="0" w:color="auto"/>
              <w:left w:val="single" w:sz="4" w:space="0" w:color="auto"/>
              <w:bottom w:val="single" w:sz="4" w:space="0" w:color="auto"/>
              <w:right w:val="single" w:sz="4" w:space="0" w:color="auto"/>
            </w:tcBorders>
            <w:shd w:val="clear" w:color="auto" w:fill="auto"/>
          </w:tcPr>
          <w:p w14:paraId="7EA9B4CA" w14:textId="024999F0" w:rsidR="00CC794B" w:rsidRPr="00756E21" w:rsidRDefault="00CC794B" w:rsidP="00756E21">
            <w:pPr>
              <w:spacing w:after="0"/>
              <w:rPr>
                <w:sz w:val="20"/>
                <w:szCs w:val="20"/>
              </w:rPr>
            </w:pPr>
            <w:r w:rsidRPr="00756E21">
              <w:rPr>
                <w:sz w:val="20"/>
                <w:szCs w:val="20"/>
              </w:rPr>
              <w:t xml:space="preserve">Engagement trop faible </w:t>
            </w:r>
            <w:r w:rsidR="004B6635" w:rsidRPr="00756E21">
              <w:rPr>
                <w:sz w:val="20"/>
                <w:szCs w:val="20"/>
              </w:rPr>
              <w:t>des membres</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4F89AB88" w14:textId="317093A6" w:rsidR="00CC794B" w:rsidRPr="00756E21" w:rsidRDefault="008567A4" w:rsidP="00756E21">
            <w:pPr>
              <w:spacing w:after="0"/>
              <w:rPr>
                <w:sz w:val="20"/>
                <w:szCs w:val="20"/>
              </w:rPr>
            </w:pPr>
            <w:r w:rsidRPr="00756E21">
              <w:rPr>
                <w:sz w:val="20"/>
                <w:szCs w:val="20"/>
              </w:rPr>
              <w:t>1</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6F866DE0" w14:textId="3AFB6CA0" w:rsidR="00CC794B" w:rsidRPr="00756E21" w:rsidRDefault="008567A4" w:rsidP="00756E21">
            <w:pPr>
              <w:spacing w:after="0"/>
              <w:rPr>
                <w:sz w:val="20"/>
                <w:szCs w:val="20"/>
              </w:rPr>
            </w:pPr>
            <w:r w:rsidRPr="00756E21">
              <w:rPr>
                <w:sz w:val="20"/>
                <w:szCs w:val="20"/>
              </w:rPr>
              <w:t>3</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133212AE" w14:textId="4E1CADBD" w:rsidR="00CC794B" w:rsidRPr="00756E21" w:rsidRDefault="00A344E9" w:rsidP="00756E21">
            <w:pPr>
              <w:spacing w:after="0"/>
              <w:rPr>
                <w:sz w:val="20"/>
                <w:szCs w:val="20"/>
              </w:rPr>
            </w:pPr>
            <w:r w:rsidRPr="00756E21">
              <w:rPr>
                <w:sz w:val="20"/>
                <w:szCs w:val="20"/>
              </w:rPr>
              <w:t>3</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3034AB2" w14:textId="294DDCA5" w:rsidR="00CC794B" w:rsidRPr="00756E21" w:rsidRDefault="008567A4" w:rsidP="00756E21">
            <w:pPr>
              <w:spacing w:after="0"/>
              <w:rPr>
                <w:sz w:val="20"/>
                <w:szCs w:val="20"/>
              </w:rPr>
            </w:pPr>
            <w:r w:rsidRPr="00756E21">
              <w:rPr>
                <w:sz w:val="20"/>
                <w:szCs w:val="20"/>
              </w:rPr>
              <w:t>1</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30554BF5" w14:textId="14652D5D" w:rsidR="00CC794B" w:rsidRPr="00756E21" w:rsidRDefault="00CC794B" w:rsidP="00756E21">
            <w:pPr>
              <w:spacing w:after="0"/>
              <w:rPr>
                <w:sz w:val="20"/>
                <w:szCs w:val="20"/>
              </w:rPr>
            </w:pPr>
            <w:r w:rsidRPr="00756E21">
              <w:rPr>
                <w:sz w:val="20"/>
                <w:szCs w:val="20"/>
              </w:rPr>
              <w:t xml:space="preserve">Prises de contact </w:t>
            </w:r>
            <w:r w:rsidR="00A344E9" w:rsidRPr="00756E21">
              <w:rPr>
                <w:sz w:val="20"/>
                <w:szCs w:val="20"/>
              </w:rPr>
              <w:t>en amont de chaque réunion, relances vers les acteurs moins présents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4FBFCF" w14:textId="242EA139" w:rsidR="00CC794B" w:rsidRPr="00756E21" w:rsidRDefault="00A344E9" w:rsidP="00756E21">
            <w:pPr>
              <w:spacing w:after="0"/>
              <w:rPr>
                <w:sz w:val="20"/>
                <w:szCs w:val="20"/>
              </w:rPr>
            </w:pPr>
            <w:r w:rsidRPr="00756E21">
              <w:rPr>
                <w:sz w:val="20"/>
                <w:szCs w:val="20"/>
              </w:rPr>
              <w:t>Secrétariat</w:t>
            </w:r>
          </w:p>
        </w:tc>
      </w:tr>
      <w:tr w:rsidR="00723595" w:rsidRPr="00756E21" w14:paraId="6205893E" w14:textId="77777777" w:rsidTr="006A4F8A">
        <w:tc>
          <w:tcPr>
            <w:tcW w:w="2307" w:type="dxa"/>
            <w:tcBorders>
              <w:top w:val="single" w:sz="4" w:space="0" w:color="auto"/>
              <w:left w:val="single" w:sz="4" w:space="0" w:color="auto"/>
              <w:bottom w:val="single" w:sz="4" w:space="0" w:color="auto"/>
              <w:right w:val="single" w:sz="4" w:space="0" w:color="auto"/>
            </w:tcBorders>
            <w:shd w:val="clear" w:color="auto" w:fill="auto"/>
          </w:tcPr>
          <w:p w14:paraId="75DBFB64" w14:textId="65A83CD0" w:rsidR="00723595" w:rsidRPr="00756E21" w:rsidRDefault="00A344E9" w:rsidP="00756E21">
            <w:pPr>
              <w:spacing w:after="0"/>
              <w:rPr>
                <w:sz w:val="20"/>
                <w:szCs w:val="20"/>
              </w:rPr>
            </w:pPr>
            <w:r w:rsidRPr="00756E21">
              <w:rPr>
                <w:sz w:val="20"/>
                <w:szCs w:val="20"/>
              </w:rPr>
              <w:t>Remise en cause de l’approche systèmes alimentaires durables par le politique</w:t>
            </w: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13482910" w14:textId="508AFC6E" w:rsidR="00723595" w:rsidRPr="00756E21" w:rsidRDefault="00A344E9" w:rsidP="00756E21">
            <w:pPr>
              <w:spacing w:after="0"/>
              <w:rPr>
                <w:sz w:val="20"/>
                <w:szCs w:val="20"/>
              </w:rPr>
            </w:pPr>
            <w:r w:rsidRPr="00756E21">
              <w:rPr>
                <w:sz w:val="20"/>
                <w:szCs w:val="20"/>
              </w:rPr>
              <w:t>2</w:t>
            </w:r>
          </w:p>
        </w:tc>
        <w:tc>
          <w:tcPr>
            <w:tcW w:w="216" w:type="dxa"/>
            <w:tcBorders>
              <w:top w:val="single" w:sz="4" w:space="0" w:color="auto"/>
              <w:left w:val="single" w:sz="4" w:space="0" w:color="auto"/>
              <w:bottom w:val="single" w:sz="4" w:space="0" w:color="auto"/>
              <w:right w:val="single" w:sz="4" w:space="0" w:color="auto"/>
            </w:tcBorders>
            <w:shd w:val="clear" w:color="auto" w:fill="auto"/>
          </w:tcPr>
          <w:p w14:paraId="525BF67F" w14:textId="2B1C2F7B" w:rsidR="00723595" w:rsidRPr="00756E21" w:rsidRDefault="00A344E9" w:rsidP="00756E21">
            <w:pPr>
              <w:spacing w:after="0"/>
              <w:rPr>
                <w:sz w:val="20"/>
                <w:szCs w:val="20"/>
              </w:rPr>
            </w:pPr>
            <w:r w:rsidRPr="00756E21">
              <w:rPr>
                <w:sz w:val="20"/>
                <w:szCs w:val="20"/>
              </w:rPr>
              <w:t>3</w:t>
            </w:r>
          </w:p>
        </w:tc>
        <w:tc>
          <w:tcPr>
            <w:tcW w:w="249" w:type="dxa"/>
            <w:tcBorders>
              <w:top w:val="single" w:sz="4" w:space="0" w:color="auto"/>
              <w:left w:val="single" w:sz="4" w:space="0" w:color="auto"/>
              <w:bottom w:val="single" w:sz="4" w:space="0" w:color="auto"/>
              <w:right w:val="single" w:sz="4" w:space="0" w:color="auto"/>
            </w:tcBorders>
            <w:shd w:val="clear" w:color="auto" w:fill="FFF2CC"/>
          </w:tcPr>
          <w:p w14:paraId="2D0C3C02" w14:textId="7429CE64" w:rsidR="00723595" w:rsidRPr="00756E21" w:rsidRDefault="00723595" w:rsidP="00756E21">
            <w:pPr>
              <w:spacing w:after="0"/>
              <w:rPr>
                <w:sz w:val="20"/>
                <w:szCs w:val="20"/>
              </w:rPr>
            </w:pPr>
            <w:r w:rsidRPr="00756E21">
              <w:rPr>
                <w:sz w:val="20"/>
                <w:szCs w:val="20"/>
              </w:rPr>
              <w:t>6</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966D259" w14:textId="17EDEB9F" w:rsidR="00723595" w:rsidRPr="00756E21" w:rsidRDefault="00723595" w:rsidP="00756E21">
            <w:pPr>
              <w:spacing w:after="0"/>
              <w:rPr>
                <w:sz w:val="20"/>
                <w:szCs w:val="20"/>
              </w:rPr>
            </w:pPr>
            <w:r w:rsidRPr="00756E21">
              <w:rPr>
                <w:sz w:val="20"/>
                <w:szCs w:val="20"/>
              </w:rPr>
              <w:t xml:space="preserve">1 </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8A06DF6" w14:textId="5AC86D83" w:rsidR="00723595" w:rsidRPr="00756E21" w:rsidRDefault="00A344E9" w:rsidP="00756E21">
            <w:pPr>
              <w:spacing w:after="0"/>
              <w:rPr>
                <w:sz w:val="20"/>
                <w:szCs w:val="20"/>
              </w:rPr>
            </w:pPr>
            <w:r w:rsidRPr="00756E21">
              <w:rPr>
                <w:sz w:val="20"/>
                <w:szCs w:val="20"/>
              </w:rPr>
              <w:t>Participation du cabinet de la Coopération aux travaux de la PASA, plaidoyer vers les ministres concernés.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730BD" w14:textId="60E9F885" w:rsidR="00723595" w:rsidRPr="00756E21" w:rsidRDefault="00A344E9" w:rsidP="00756E21">
            <w:pPr>
              <w:spacing w:after="0"/>
              <w:rPr>
                <w:sz w:val="20"/>
                <w:szCs w:val="20"/>
              </w:rPr>
            </w:pPr>
            <w:r w:rsidRPr="00756E21">
              <w:rPr>
                <w:sz w:val="20"/>
                <w:szCs w:val="20"/>
              </w:rPr>
              <w:t>Secrétariat, membres</w:t>
            </w:r>
          </w:p>
        </w:tc>
      </w:tr>
      <w:tr w:rsidR="00CC794B" w:rsidRPr="00756E21" w14:paraId="522A7068" w14:textId="77777777" w:rsidTr="006A4F8A">
        <w:tc>
          <w:tcPr>
            <w:tcW w:w="8986" w:type="dxa"/>
            <w:gridSpan w:val="7"/>
            <w:tcBorders>
              <w:top w:val="single" w:sz="4" w:space="0" w:color="auto"/>
              <w:left w:val="single" w:sz="4" w:space="0" w:color="auto"/>
              <w:bottom w:val="single" w:sz="4" w:space="0" w:color="auto"/>
              <w:right w:val="single" w:sz="4" w:space="0" w:color="auto"/>
            </w:tcBorders>
            <w:shd w:val="clear" w:color="auto" w:fill="auto"/>
          </w:tcPr>
          <w:p w14:paraId="30BEC50B" w14:textId="77777777" w:rsidR="00CC794B" w:rsidRPr="00756E21" w:rsidRDefault="00CC794B" w:rsidP="00756E21">
            <w:pPr>
              <w:spacing w:after="0"/>
              <w:rPr>
                <w:sz w:val="20"/>
                <w:szCs w:val="20"/>
              </w:rPr>
            </w:pPr>
            <w:r w:rsidRPr="00756E21">
              <w:rPr>
                <w:b/>
                <w:bCs/>
                <w:sz w:val="20"/>
                <w:szCs w:val="20"/>
              </w:rPr>
              <w:t>P</w:t>
            </w:r>
            <w:r w:rsidRPr="00756E21">
              <w:rPr>
                <w:sz w:val="20"/>
                <w:szCs w:val="20"/>
              </w:rPr>
              <w:t xml:space="preserve"> (probabilité) x </w:t>
            </w:r>
            <w:r w:rsidRPr="00756E21">
              <w:rPr>
                <w:b/>
                <w:bCs/>
                <w:sz w:val="20"/>
                <w:szCs w:val="20"/>
              </w:rPr>
              <w:t>E</w:t>
            </w:r>
            <w:r w:rsidRPr="00756E21">
              <w:rPr>
                <w:sz w:val="20"/>
                <w:szCs w:val="20"/>
              </w:rPr>
              <w:t xml:space="preserve"> (Effet, ou impact) = </w:t>
            </w:r>
            <w:r w:rsidRPr="00756E21">
              <w:rPr>
                <w:b/>
                <w:bCs/>
                <w:sz w:val="20"/>
                <w:szCs w:val="20"/>
              </w:rPr>
              <w:t>N</w:t>
            </w:r>
            <w:r w:rsidRPr="00756E21">
              <w:rPr>
                <w:sz w:val="20"/>
                <w:szCs w:val="20"/>
              </w:rPr>
              <w:t xml:space="preserve"> (Niveau du risque) - sur une échelle de 1 à 3 pour les axes P et E</w:t>
            </w:r>
          </w:p>
          <w:p w14:paraId="0671ADEF" w14:textId="38070211" w:rsidR="00CC794B" w:rsidRPr="00756E21" w:rsidRDefault="00CC794B" w:rsidP="00756E21">
            <w:pPr>
              <w:spacing w:after="0"/>
              <w:rPr>
                <w:sz w:val="20"/>
                <w:szCs w:val="20"/>
              </w:rPr>
            </w:pPr>
            <w:r w:rsidRPr="00756E21">
              <w:rPr>
                <w:sz w:val="20"/>
                <w:szCs w:val="20"/>
              </w:rPr>
              <w:t>Risque faible : 1 à 3</w:t>
            </w:r>
            <w:r w:rsidR="00A344E9" w:rsidRPr="00756E21">
              <w:rPr>
                <w:sz w:val="20"/>
                <w:szCs w:val="20"/>
              </w:rPr>
              <w:t xml:space="preserve"> – </w:t>
            </w:r>
            <w:r w:rsidRPr="00756E21">
              <w:rPr>
                <w:sz w:val="20"/>
                <w:szCs w:val="20"/>
              </w:rPr>
              <w:t>Risque</w:t>
            </w:r>
            <w:r w:rsidR="00A344E9" w:rsidRPr="00756E21">
              <w:rPr>
                <w:sz w:val="20"/>
                <w:szCs w:val="20"/>
              </w:rPr>
              <w:t xml:space="preserve"> </w:t>
            </w:r>
            <w:r w:rsidRPr="00756E21">
              <w:rPr>
                <w:sz w:val="20"/>
                <w:szCs w:val="20"/>
              </w:rPr>
              <w:t>moyen : 4 à 6</w:t>
            </w:r>
            <w:r w:rsidR="00A344E9" w:rsidRPr="00756E21">
              <w:rPr>
                <w:sz w:val="20"/>
                <w:szCs w:val="20"/>
              </w:rPr>
              <w:t xml:space="preserve"> – </w:t>
            </w:r>
            <w:r w:rsidRPr="00756E21">
              <w:rPr>
                <w:sz w:val="20"/>
                <w:szCs w:val="20"/>
              </w:rPr>
              <w:t>Risque</w:t>
            </w:r>
            <w:r w:rsidR="00A344E9" w:rsidRPr="00756E21">
              <w:rPr>
                <w:sz w:val="20"/>
                <w:szCs w:val="20"/>
              </w:rPr>
              <w:t xml:space="preserve"> </w:t>
            </w:r>
            <w:r w:rsidRPr="00756E21">
              <w:rPr>
                <w:sz w:val="20"/>
                <w:szCs w:val="20"/>
              </w:rPr>
              <w:t>élevé : 7 à 9</w:t>
            </w:r>
          </w:p>
        </w:tc>
      </w:tr>
    </w:tbl>
    <w:p w14:paraId="31E19452" w14:textId="77777777" w:rsidR="005F3C1C" w:rsidRDefault="005F3C1C" w:rsidP="005F3C1C">
      <w:pPr>
        <w:pStyle w:val="Heading1"/>
        <w:rPr>
          <w:lang w:val="fr-FR" w:eastAsia="fr-FR"/>
        </w:rPr>
      </w:pPr>
      <w:bookmarkStart w:id="15" w:name="_Toc141438378"/>
      <w:r>
        <w:rPr>
          <w:lang w:val="fr-FR" w:eastAsia="fr-FR"/>
        </w:rPr>
        <w:lastRenderedPageBreak/>
        <w:t>Chronogramme du projet</w:t>
      </w:r>
      <w:bookmarkEnd w:id="15"/>
    </w:p>
    <w:p w14:paraId="3570D6B4" w14:textId="77777777" w:rsidR="005F3C1C" w:rsidRDefault="005F3C1C" w:rsidP="005F3C1C">
      <w:pPr>
        <w:rPr>
          <w:lang w:val="fr-FR" w:eastAsia="fr-FR"/>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E34C2E" w14:paraId="3E8BF18F" w14:textId="77777777" w:rsidTr="00E34C2E">
        <w:tc>
          <w:tcPr>
            <w:tcW w:w="1288" w:type="dxa"/>
          </w:tcPr>
          <w:p w14:paraId="0173CA3B" w14:textId="77777777" w:rsidR="00E34C2E" w:rsidRDefault="00E34C2E" w:rsidP="005F3C1C">
            <w:pPr>
              <w:rPr>
                <w:lang w:eastAsia="fr-FR"/>
              </w:rPr>
            </w:pPr>
          </w:p>
        </w:tc>
        <w:tc>
          <w:tcPr>
            <w:tcW w:w="1288" w:type="dxa"/>
          </w:tcPr>
          <w:p w14:paraId="5221D814" w14:textId="6ADC6E82" w:rsidR="00E34C2E" w:rsidRDefault="00E34C2E" w:rsidP="002C3EB1">
            <w:pPr>
              <w:jc w:val="center"/>
              <w:rPr>
                <w:lang w:eastAsia="fr-FR"/>
              </w:rPr>
            </w:pPr>
            <w:r>
              <w:rPr>
                <w:lang w:eastAsia="fr-FR"/>
              </w:rPr>
              <w:t>2023 S1</w:t>
            </w:r>
          </w:p>
        </w:tc>
        <w:tc>
          <w:tcPr>
            <w:tcW w:w="1288" w:type="dxa"/>
          </w:tcPr>
          <w:p w14:paraId="776B5C44" w14:textId="7BCBA55A" w:rsidR="00E34C2E" w:rsidRDefault="00E34C2E" w:rsidP="002C3EB1">
            <w:pPr>
              <w:jc w:val="center"/>
              <w:rPr>
                <w:lang w:eastAsia="fr-FR"/>
              </w:rPr>
            </w:pPr>
            <w:r>
              <w:rPr>
                <w:lang w:eastAsia="fr-FR"/>
              </w:rPr>
              <w:t>2023 S2</w:t>
            </w:r>
          </w:p>
        </w:tc>
        <w:tc>
          <w:tcPr>
            <w:tcW w:w="1288" w:type="dxa"/>
          </w:tcPr>
          <w:p w14:paraId="6CBFA2AC" w14:textId="3FD0CAD0" w:rsidR="00E34C2E" w:rsidRDefault="00E34C2E" w:rsidP="002C3EB1">
            <w:pPr>
              <w:jc w:val="center"/>
              <w:rPr>
                <w:lang w:eastAsia="fr-FR"/>
              </w:rPr>
            </w:pPr>
            <w:r>
              <w:rPr>
                <w:lang w:eastAsia="fr-FR"/>
              </w:rPr>
              <w:t>2024 S1</w:t>
            </w:r>
          </w:p>
        </w:tc>
        <w:tc>
          <w:tcPr>
            <w:tcW w:w="1288" w:type="dxa"/>
          </w:tcPr>
          <w:p w14:paraId="0ED09800" w14:textId="1EE7D2C4" w:rsidR="00E34C2E" w:rsidRDefault="00E34C2E" w:rsidP="002C3EB1">
            <w:pPr>
              <w:jc w:val="center"/>
              <w:rPr>
                <w:lang w:eastAsia="fr-FR"/>
              </w:rPr>
            </w:pPr>
            <w:r>
              <w:rPr>
                <w:lang w:eastAsia="fr-FR"/>
              </w:rPr>
              <w:t>2024</w:t>
            </w:r>
            <w:r w:rsidR="002C3EB1">
              <w:rPr>
                <w:lang w:eastAsia="fr-FR"/>
              </w:rPr>
              <w:t xml:space="preserve"> S2</w:t>
            </w:r>
          </w:p>
        </w:tc>
        <w:tc>
          <w:tcPr>
            <w:tcW w:w="1288" w:type="dxa"/>
          </w:tcPr>
          <w:p w14:paraId="7363E0AF" w14:textId="24C5759D" w:rsidR="00E34C2E" w:rsidRDefault="002C3EB1" w:rsidP="002C3EB1">
            <w:pPr>
              <w:jc w:val="center"/>
              <w:rPr>
                <w:lang w:eastAsia="fr-FR"/>
              </w:rPr>
            </w:pPr>
            <w:r>
              <w:rPr>
                <w:lang w:eastAsia="fr-FR"/>
              </w:rPr>
              <w:t>2025 S1</w:t>
            </w:r>
          </w:p>
        </w:tc>
        <w:tc>
          <w:tcPr>
            <w:tcW w:w="1288" w:type="dxa"/>
          </w:tcPr>
          <w:p w14:paraId="59AF8B9D" w14:textId="48B6B834" w:rsidR="00E34C2E" w:rsidRDefault="002C3EB1" w:rsidP="002C3EB1">
            <w:pPr>
              <w:jc w:val="center"/>
              <w:rPr>
                <w:lang w:eastAsia="fr-FR"/>
              </w:rPr>
            </w:pPr>
            <w:r>
              <w:rPr>
                <w:lang w:eastAsia="fr-FR"/>
              </w:rPr>
              <w:t>2025 S2</w:t>
            </w:r>
          </w:p>
        </w:tc>
      </w:tr>
      <w:tr w:rsidR="00E34C2E" w14:paraId="659B0FDC" w14:textId="77777777" w:rsidTr="00E34C2E">
        <w:tc>
          <w:tcPr>
            <w:tcW w:w="1288" w:type="dxa"/>
          </w:tcPr>
          <w:p w14:paraId="0C40A91B" w14:textId="385B0BE9" w:rsidR="00E34C2E" w:rsidRPr="00E34C2E" w:rsidRDefault="00E34C2E" w:rsidP="005F3C1C">
            <w:pPr>
              <w:rPr>
                <w:sz w:val="18"/>
                <w:szCs w:val="18"/>
                <w:lang w:eastAsia="fr-FR"/>
              </w:rPr>
            </w:pPr>
            <w:r w:rsidRPr="00E34C2E">
              <w:rPr>
                <w:sz w:val="18"/>
                <w:szCs w:val="18"/>
                <w:lang w:eastAsia="fr-FR"/>
              </w:rPr>
              <w:t>Nombre de réunions PASA</w:t>
            </w:r>
          </w:p>
        </w:tc>
        <w:tc>
          <w:tcPr>
            <w:tcW w:w="1288" w:type="dxa"/>
          </w:tcPr>
          <w:p w14:paraId="27A439DE" w14:textId="463DCFE4" w:rsidR="00E34C2E" w:rsidRDefault="002C3EB1" w:rsidP="002C3EB1">
            <w:pPr>
              <w:jc w:val="center"/>
              <w:rPr>
                <w:lang w:eastAsia="fr-FR"/>
              </w:rPr>
            </w:pPr>
            <w:r>
              <w:rPr>
                <w:lang w:eastAsia="fr-FR"/>
              </w:rPr>
              <w:t>2</w:t>
            </w:r>
          </w:p>
        </w:tc>
        <w:tc>
          <w:tcPr>
            <w:tcW w:w="1288" w:type="dxa"/>
          </w:tcPr>
          <w:p w14:paraId="624CB0F2" w14:textId="4C5D3F16" w:rsidR="00E34C2E" w:rsidRDefault="002C3EB1" w:rsidP="002C3EB1">
            <w:pPr>
              <w:jc w:val="center"/>
              <w:rPr>
                <w:lang w:eastAsia="fr-FR"/>
              </w:rPr>
            </w:pPr>
            <w:r>
              <w:rPr>
                <w:lang w:eastAsia="fr-FR"/>
              </w:rPr>
              <w:t>1</w:t>
            </w:r>
          </w:p>
        </w:tc>
        <w:tc>
          <w:tcPr>
            <w:tcW w:w="1288" w:type="dxa"/>
          </w:tcPr>
          <w:p w14:paraId="332D0FB4" w14:textId="3049FFFE" w:rsidR="00E34C2E" w:rsidRDefault="002C3EB1" w:rsidP="002C3EB1">
            <w:pPr>
              <w:jc w:val="center"/>
              <w:rPr>
                <w:lang w:eastAsia="fr-FR"/>
              </w:rPr>
            </w:pPr>
            <w:r>
              <w:rPr>
                <w:lang w:eastAsia="fr-FR"/>
              </w:rPr>
              <w:t>2</w:t>
            </w:r>
          </w:p>
        </w:tc>
        <w:tc>
          <w:tcPr>
            <w:tcW w:w="1288" w:type="dxa"/>
          </w:tcPr>
          <w:p w14:paraId="62C0336C" w14:textId="21EE7450" w:rsidR="00E34C2E" w:rsidRDefault="002C3EB1" w:rsidP="002C3EB1">
            <w:pPr>
              <w:jc w:val="center"/>
              <w:rPr>
                <w:lang w:eastAsia="fr-FR"/>
              </w:rPr>
            </w:pPr>
            <w:r>
              <w:rPr>
                <w:lang w:eastAsia="fr-FR"/>
              </w:rPr>
              <w:t>1</w:t>
            </w:r>
          </w:p>
        </w:tc>
        <w:tc>
          <w:tcPr>
            <w:tcW w:w="1288" w:type="dxa"/>
          </w:tcPr>
          <w:p w14:paraId="02819792" w14:textId="53F0EE03" w:rsidR="00E34C2E" w:rsidRDefault="002C3EB1" w:rsidP="002C3EB1">
            <w:pPr>
              <w:jc w:val="center"/>
              <w:rPr>
                <w:lang w:eastAsia="fr-FR"/>
              </w:rPr>
            </w:pPr>
            <w:r>
              <w:rPr>
                <w:lang w:eastAsia="fr-FR"/>
              </w:rPr>
              <w:t>2</w:t>
            </w:r>
          </w:p>
        </w:tc>
        <w:tc>
          <w:tcPr>
            <w:tcW w:w="1288" w:type="dxa"/>
          </w:tcPr>
          <w:p w14:paraId="40A06DA4" w14:textId="5CE7D7D5" w:rsidR="00E34C2E" w:rsidRDefault="002C3EB1" w:rsidP="002C3EB1">
            <w:pPr>
              <w:jc w:val="center"/>
              <w:rPr>
                <w:lang w:eastAsia="fr-FR"/>
              </w:rPr>
            </w:pPr>
            <w:r>
              <w:rPr>
                <w:lang w:eastAsia="fr-FR"/>
              </w:rPr>
              <w:t>1</w:t>
            </w:r>
          </w:p>
        </w:tc>
      </w:tr>
    </w:tbl>
    <w:p w14:paraId="4814EF7B" w14:textId="10F6FA6E" w:rsidR="00A34860" w:rsidRDefault="007D2F5A" w:rsidP="00AC1FC1">
      <w:pPr>
        <w:pStyle w:val="Heading1"/>
        <w:rPr>
          <w:lang w:eastAsia="fr-FR"/>
        </w:rPr>
      </w:pPr>
      <w:bookmarkStart w:id="16" w:name="_Toc136943617"/>
      <w:bookmarkStart w:id="17" w:name="_Toc141438379"/>
      <w:r w:rsidRPr="00BA2098">
        <w:rPr>
          <w:lang w:eastAsia="fr-FR"/>
        </w:rPr>
        <w:t>Budget</w:t>
      </w:r>
      <w:bookmarkEnd w:id="16"/>
      <w:bookmarkEnd w:id="17"/>
    </w:p>
    <w:p w14:paraId="722BCE36" w14:textId="77777777" w:rsidR="00DC2C8B" w:rsidRDefault="00DC2C8B" w:rsidP="00AC1FC1">
      <w:pPr>
        <w:rPr>
          <w:rFonts w:ascii="Arial" w:hAnsi="Arial"/>
          <w:sz w:val="24"/>
          <w:szCs w:val="24"/>
          <w:lang w:val="fr-FR"/>
        </w:rPr>
      </w:pPr>
    </w:p>
    <w:tbl>
      <w:tblPr>
        <w:tblW w:w="8790" w:type="dxa"/>
        <w:tblCellMar>
          <w:left w:w="70" w:type="dxa"/>
          <w:right w:w="70" w:type="dxa"/>
        </w:tblCellMar>
        <w:tblLook w:val="04A0" w:firstRow="1" w:lastRow="0" w:firstColumn="1" w:lastColumn="0" w:noHBand="0" w:noVBand="1"/>
      </w:tblPr>
      <w:tblGrid>
        <w:gridCol w:w="3734"/>
        <w:gridCol w:w="1220"/>
        <w:gridCol w:w="1220"/>
        <w:gridCol w:w="1383"/>
        <w:gridCol w:w="1233"/>
      </w:tblGrid>
      <w:tr w:rsidR="0096241E" w:rsidRPr="0096241E" w14:paraId="56D0CC49" w14:textId="77777777" w:rsidTr="0096241E">
        <w:trPr>
          <w:trHeight w:val="301"/>
        </w:trPr>
        <w:tc>
          <w:tcPr>
            <w:tcW w:w="3734"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14:paraId="044E10E3" w14:textId="77777777" w:rsidR="0096241E" w:rsidRPr="0096241E" w:rsidRDefault="0096241E" w:rsidP="0096241E">
            <w:pPr>
              <w:spacing w:after="0" w:line="240" w:lineRule="auto"/>
              <w:jc w:val="center"/>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Nature des dépenses</w:t>
            </w:r>
          </w:p>
        </w:tc>
        <w:tc>
          <w:tcPr>
            <w:tcW w:w="1220" w:type="dxa"/>
            <w:tcBorders>
              <w:top w:val="single" w:sz="8" w:space="0" w:color="auto"/>
              <w:left w:val="nil"/>
              <w:bottom w:val="single" w:sz="8" w:space="0" w:color="auto"/>
              <w:right w:val="single" w:sz="8" w:space="0" w:color="auto"/>
            </w:tcBorders>
            <w:shd w:val="clear" w:color="000000" w:fill="C9C9C9"/>
            <w:noWrap/>
            <w:vAlign w:val="center"/>
            <w:hideMark/>
          </w:tcPr>
          <w:p w14:paraId="41EA94E7" w14:textId="77777777" w:rsidR="0096241E" w:rsidRPr="0096241E" w:rsidRDefault="0096241E" w:rsidP="0096241E">
            <w:pPr>
              <w:spacing w:after="0" w:line="240" w:lineRule="auto"/>
              <w:jc w:val="center"/>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2023</w:t>
            </w:r>
          </w:p>
        </w:tc>
        <w:tc>
          <w:tcPr>
            <w:tcW w:w="1220" w:type="dxa"/>
            <w:tcBorders>
              <w:top w:val="single" w:sz="8" w:space="0" w:color="auto"/>
              <w:left w:val="nil"/>
              <w:bottom w:val="single" w:sz="8" w:space="0" w:color="auto"/>
              <w:right w:val="single" w:sz="8" w:space="0" w:color="auto"/>
            </w:tcBorders>
            <w:shd w:val="clear" w:color="000000" w:fill="C9C9C9"/>
            <w:noWrap/>
            <w:vAlign w:val="center"/>
            <w:hideMark/>
          </w:tcPr>
          <w:p w14:paraId="5F5F43D9" w14:textId="77777777" w:rsidR="0096241E" w:rsidRPr="0096241E" w:rsidRDefault="0096241E" w:rsidP="0096241E">
            <w:pPr>
              <w:spacing w:after="0" w:line="240" w:lineRule="auto"/>
              <w:jc w:val="center"/>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2024</w:t>
            </w:r>
          </w:p>
        </w:tc>
        <w:tc>
          <w:tcPr>
            <w:tcW w:w="1383" w:type="dxa"/>
            <w:tcBorders>
              <w:top w:val="single" w:sz="8" w:space="0" w:color="auto"/>
              <w:left w:val="nil"/>
              <w:bottom w:val="single" w:sz="8" w:space="0" w:color="auto"/>
              <w:right w:val="single" w:sz="8" w:space="0" w:color="auto"/>
            </w:tcBorders>
            <w:shd w:val="clear" w:color="000000" w:fill="C9C9C9"/>
            <w:noWrap/>
            <w:vAlign w:val="center"/>
            <w:hideMark/>
          </w:tcPr>
          <w:p w14:paraId="64BAC52E" w14:textId="77777777" w:rsidR="0096241E" w:rsidRPr="0096241E" w:rsidRDefault="0096241E" w:rsidP="0096241E">
            <w:pPr>
              <w:spacing w:after="0" w:line="240" w:lineRule="auto"/>
              <w:jc w:val="center"/>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2025</w:t>
            </w:r>
          </w:p>
        </w:tc>
        <w:tc>
          <w:tcPr>
            <w:tcW w:w="1233" w:type="dxa"/>
            <w:tcBorders>
              <w:top w:val="single" w:sz="8" w:space="0" w:color="auto"/>
              <w:left w:val="nil"/>
              <w:bottom w:val="single" w:sz="8" w:space="0" w:color="auto"/>
              <w:right w:val="single" w:sz="8" w:space="0" w:color="auto"/>
            </w:tcBorders>
            <w:shd w:val="clear" w:color="000000" w:fill="C9C9C9"/>
            <w:vAlign w:val="center"/>
            <w:hideMark/>
          </w:tcPr>
          <w:p w14:paraId="6C2B5E62" w14:textId="77777777" w:rsidR="0096241E" w:rsidRPr="0096241E" w:rsidRDefault="0096241E" w:rsidP="0096241E">
            <w:pPr>
              <w:spacing w:after="0" w:line="240" w:lineRule="auto"/>
              <w:jc w:val="center"/>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TOTAL</w:t>
            </w:r>
          </w:p>
        </w:tc>
      </w:tr>
      <w:tr w:rsidR="0096241E" w:rsidRPr="0096241E" w14:paraId="00A9F5C0" w14:textId="77777777" w:rsidTr="0096241E">
        <w:trPr>
          <w:trHeight w:val="301"/>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14:paraId="233A01EF" w14:textId="01F5A41E" w:rsidR="0096241E" w:rsidRPr="0096241E" w:rsidRDefault="0096241E" w:rsidP="0096241E">
            <w:pPr>
              <w:spacing w:after="0" w:line="240" w:lineRule="auto"/>
              <w:jc w:val="left"/>
              <w:rPr>
                <w:rFonts w:ascii="Calibri" w:eastAsia="Times New Roman" w:hAnsi="Calibri" w:cs="Calibri"/>
                <w:color w:val="000000"/>
                <w:sz w:val="18"/>
                <w:szCs w:val="18"/>
              </w:rPr>
            </w:pPr>
            <w:r w:rsidRPr="0096241E">
              <w:rPr>
                <w:rFonts w:ascii="Calibri" w:eastAsia="Times New Roman" w:hAnsi="Calibri" w:cs="Calibri"/>
                <w:color w:val="000000"/>
                <w:sz w:val="18"/>
                <w:szCs w:val="18"/>
              </w:rPr>
              <w:t>Salaire coordination PASA (</w:t>
            </w:r>
            <w:r>
              <w:rPr>
                <w:rFonts w:ascii="Calibri" w:eastAsia="Times New Roman" w:hAnsi="Calibri" w:cs="Calibri"/>
                <w:color w:val="000000"/>
                <w:sz w:val="18"/>
                <w:szCs w:val="18"/>
              </w:rPr>
              <w:t>12 jours</w:t>
            </w:r>
            <w:r w:rsidRPr="0096241E">
              <w:rPr>
                <w:rFonts w:ascii="Calibri" w:eastAsia="Times New Roman" w:hAnsi="Calibri" w:cs="Calibri"/>
                <w:color w:val="000000"/>
                <w:sz w:val="18"/>
                <w:szCs w:val="18"/>
              </w:rPr>
              <w:t>/personne)</w:t>
            </w:r>
          </w:p>
        </w:tc>
        <w:tc>
          <w:tcPr>
            <w:tcW w:w="1220" w:type="dxa"/>
            <w:tcBorders>
              <w:top w:val="nil"/>
              <w:left w:val="nil"/>
              <w:bottom w:val="single" w:sz="8" w:space="0" w:color="auto"/>
              <w:right w:val="single" w:sz="8" w:space="0" w:color="auto"/>
            </w:tcBorders>
            <w:shd w:val="clear" w:color="auto" w:fill="auto"/>
            <w:noWrap/>
            <w:vAlign w:val="center"/>
            <w:hideMark/>
          </w:tcPr>
          <w:p w14:paraId="0368F981"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4.685 € </w:t>
            </w:r>
          </w:p>
        </w:tc>
        <w:tc>
          <w:tcPr>
            <w:tcW w:w="1220" w:type="dxa"/>
            <w:tcBorders>
              <w:top w:val="nil"/>
              <w:left w:val="nil"/>
              <w:bottom w:val="single" w:sz="8" w:space="0" w:color="auto"/>
              <w:right w:val="single" w:sz="8" w:space="0" w:color="auto"/>
            </w:tcBorders>
            <w:shd w:val="clear" w:color="auto" w:fill="auto"/>
            <w:noWrap/>
            <w:vAlign w:val="center"/>
            <w:hideMark/>
          </w:tcPr>
          <w:p w14:paraId="6D388EDF"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4.888 € </w:t>
            </w:r>
          </w:p>
        </w:tc>
        <w:tc>
          <w:tcPr>
            <w:tcW w:w="1383" w:type="dxa"/>
            <w:tcBorders>
              <w:top w:val="nil"/>
              <w:left w:val="nil"/>
              <w:bottom w:val="single" w:sz="8" w:space="0" w:color="auto"/>
              <w:right w:val="single" w:sz="8" w:space="0" w:color="auto"/>
            </w:tcBorders>
            <w:shd w:val="clear" w:color="auto" w:fill="auto"/>
            <w:noWrap/>
            <w:vAlign w:val="center"/>
            <w:hideMark/>
          </w:tcPr>
          <w:p w14:paraId="2DCDE604"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5.083 € </w:t>
            </w:r>
          </w:p>
        </w:tc>
        <w:tc>
          <w:tcPr>
            <w:tcW w:w="1233" w:type="dxa"/>
            <w:tcBorders>
              <w:top w:val="nil"/>
              <w:left w:val="nil"/>
              <w:bottom w:val="single" w:sz="8" w:space="0" w:color="auto"/>
              <w:right w:val="single" w:sz="8" w:space="0" w:color="auto"/>
            </w:tcBorders>
            <w:shd w:val="clear" w:color="auto" w:fill="auto"/>
            <w:vAlign w:val="center"/>
            <w:hideMark/>
          </w:tcPr>
          <w:p w14:paraId="4EFDFB99" w14:textId="77777777" w:rsidR="0096241E" w:rsidRPr="0096241E" w:rsidRDefault="0096241E" w:rsidP="0096241E">
            <w:pPr>
              <w:spacing w:after="0" w:line="240" w:lineRule="auto"/>
              <w:jc w:val="righ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 xml:space="preserve">        14.657 € </w:t>
            </w:r>
          </w:p>
        </w:tc>
      </w:tr>
      <w:tr w:rsidR="0096241E" w:rsidRPr="0096241E" w14:paraId="76B0CD83" w14:textId="77777777" w:rsidTr="0096241E">
        <w:trPr>
          <w:trHeight w:val="301"/>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14:paraId="13458013" w14:textId="77777777" w:rsidR="0096241E" w:rsidRPr="0096241E" w:rsidRDefault="0096241E" w:rsidP="0096241E">
            <w:pPr>
              <w:spacing w:after="0" w:line="240" w:lineRule="auto"/>
              <w:jc w:val="left"/>
              <w:rPr>
                <w:rFonts w:ascii="Calibri" w:eastAsia="Times New Roman" w:hAnsi="Calibri" w:cs="Calibri"/>
                <w:color w:val="000000"/>
                <w:sz w:val="18"/>
                <w:szCs w:val="18"/>
              </w:rPr>
            </w:pPr>
            <w:r w:rsidRPr="0096241E">
              <w:rPr>
                <w:rFonts w:ascii="Calibri" w:eastAsia="Times New Roman" w:hAnsi="Calibri" w:cs="Calibri"/>
                <w:color w:val="000000"/>
                <w:sz w:val="18"/>
                <w:szCs w:val="18"/>
              </w:rPr>
              <w:t>Frais logistique réunions (interprétariat, documents, etc.)</w:t>
            </w:r>
          </w:p>
        </w:tc>
        <w:tc>
          <w:tcPr>
            <w:tcW w:w="1220" w:type="dxa"/>
            <w:tcBorders>
              <w:top w:val="nil"/>
              <w:left w:val="nil"/>
              <w:bottom w:val="single" w:sz="8" w:space="0" w:color="auto"/>
              <w:right w:val="single" w:sz="8" w:space="0" w:color="auto"/>
            </w:tcBorders>
            <w:shd w:val="clear" w:color="auto" w:fill="auto"/>
            <w:noWrap/>
            <w:vAlign w:val="center"/>
            <w:hideMark/>
          </w:tcPr>
          <w:p w14:paraId="6C4F0AA7"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1.000 € </w:t>
            </w:r>
          </w:p>
        </w:tc>
        <w:tc>
          <w:tcPr>
            <w:tcW w:w="1220" w:type="dxa"/>
            <w:tcBorders>
              <w:top w:val="nil"/>
              <w:left w:val="nil"/>
              <w:bottom w:val="single" w:sz="8" w:space="0" w:color="auto"/>
              <w:right w:val="single" w:sz="8" w:space="0" w:color="auto"/>
            </w:tcBorders>
            <w:shd w:val="clear" w:color="auto" w:fill="auto"/>
            <w:noWrap/>
            <w:vAlign w:val="center"/>
            <w:hideMark/>
          </w:tcPr>
          <w:p w14:paraId="2F58A563"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1.030 € </w:t>
            </w:r>
          </w:p>
        </w:tc>
        <w:tc>
          <w:tcPr>
            <w:tcW w:w="1383" w:type="dxa"/>
            <w:tcBorders>
              <w:top w:val="nil"/>
              <w:left w:val="nil"/>
              <w:bottom w:val="single" w:sz="8" w:space="0" w:color="auto"/>
              <w:right w:val="single" w:sz="8" w:space="0" w:color="auto"/>
            </w:tcBorders>
            <w:shd w:val="clear" w:color="auto" w:fill="auto"/>
            <w:noWrap/>
            <w:vAlign w:val="center"/>
            <w:hideMark/>
          </w:tcPr>
          <w:p w14:paraId="76CD9ACE"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1.061 € </w:t>
            </w:r>
          </w:p>
        </w:tc>
        <w:tc>
          <w:tcPr>
            <w:tcW w:w="1233" w:type="dxa"/>
            <w:tcBorders>
              <w:top w:val="nil"/>
              <w:left w:val="nil"/>
              <w:bottom w:val="single" w:sz="8" w:space="0" w:color="auto"/>
              <w:right w:val="single" w:sz="8" w:space="0" w:color="auto"/>
            </w:tcBorders>
            <w:shd w:val="clear" w:color="auto" w:fill="auto"/>
            <w:vAlign w:val="center"/>
            <w:hideMark/>
          </w:tcPr>
          <w:p w14:paraId="48B8DADB" w14:textId="77777777" w:rsidR="0096241E" w:rsidRPr="0096241E" w:rsidRDefault="0096241E" w:rsidP="0096241E">
            <w:pPr>
              <w:spacing w:after="0" w:line="240" w:lineRule="auto"/>
              <w:jc w:val="righ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 xml:space="preserve">          3.091 € </w:t>
            </w:r>
          </w:p>
        </w:tc>
      </w:tr>
      <w:tr w:rsidR="0096241E" w:rsidRPr="0096241E" w14:paraId="569ECF71" w14:textId="77777777" w:rsidTr="0096241E">
        <w:trPr>
          <w:trHeight w:val="301"/>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14:paraId="77C8FF24" w14:textId="77777777" w:rsidR="0096241E" w:rsidRPr="0096241E" w:rsidRDefault="0096241E" w:rsidP="0096241E">
            <w:pPr>
              <w:spacing w:after="0" w:line="240" w:lineRule="auto"/>
              <w:jc w:val="left"/>
              <w:rPr>
                <w:rFonts w:ascii="Calibri" w:eastAsia="Times New Roman" w:hAnsi="Calibri" w:cs="Calibri"/>
                <w:color w:val="000000"/>
                <w:sz w:val="18"/>
                <w:szCs w:val="18"/>
              </w:rPr>
            </w:pPr>
            <w:r w:rsidRPr="0096241E">
              <w:rPr>
                <w:rFonts w:ascii="Calibri" w:eastAsia="Times New Roman" w:hAnsi="Calibri" w:cs="Calibri"/>
                <w:color w:val="000000"/>
                <w:sz w:val="18"/>
                <w:szCs w:val="18"/>
              </w:rPr>
              <w:t>Frais administratifs (support, rapportage, etc.): 8%</w:t>
            </w:r>
          </w:p>
        </w:tc>
        <w:tc>
          <w:tcPr>
            <w:tcW w:w="1220" w:type="dxa"/>
            <w:tcBorders>
              <w:top w:val="nil"/>
              <w:left w:val="nil"/>
              <w:bottom w:val="single" w:sz="8" w:space="0" w:color="auto"/>
              <w:right w:val="single" w:sz="8" w:space="0" w:color="auto"/>
            </w:tcBorders>
            <w:shd w:val="clear" w:color="auto" w:fill="auto"/>
            <w:noWrap/>
            <w:vAlign w:val="center"/>
            <w:hideMark/>
          </w:tcPr>
          <w:p w14:paraId="74F0FF49"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455 € </w:t>
            </w:r>
          </w:p>
        </w:tc>
        <w:tc>
          <w:tcPr>
            <w:tcW w:w="1220" w:type="dxa"/>
            <w:tcBorders>
              <w:top w:val="nil"/>
              <w:left w:val="nil"/>
              <w:bottom w:val="single" w:sz="8" w:space="0" w:color="auto"/>
              <w:right w:val="single" w:sz="8" w:space="0" w:color="auto"/>
            </w:tcBorders>
            <w:shd w:val="clear" w:color="auto" w:fill="auto"/>
            <w:noWrap/>
            <w:vAlign w:val="center"/>
            <w:hideMark/>
          </w:tcPr>
          <w:p w14:paraId="5C7E936C"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473 € </w:t>
            </w:r>
          </w:p>
        </w:tc>
        <w:tc>
          <w:tcPr>
            <w:tcW w:w="1383" w:type="dxa"/>
            <w:tcBorders>
              <w:top w:val="nil"/>
              <w:left w:val="nil"/>
              <w:bottom w:val="single" w:sz="8" w:space="0" w:color="auto"/>
              <w:right w:val="single" w:sz="8" w:space="0" w:color="auto"/>
            </w:tcBorders>
            <w:shd w:val="clear" w:color="auto" w:fill="auto"/>
            <w:noWrap/>
            <w:vAlign w:val="center"/>
            <w:hideMark/>
          </w:tcPr>
          <w:p w14:paraId="7EEA7278" w14:textId="77777777" w:rsidR="0096241E" w:rsidRPr="0096241E" w:rsidRDefault="0096241E" w:rsidP="0096241E">
            <w:pPr>
              <w:spacing w:after="0" w:line="240" w:lineRule="auto"/>
              <w:jc w:val="right"/>
              <w:rPr>
                <w:rFonts w:ascii="Calibri" w:eastAsia="Times New Roman" w:hAnsi="Calibri" w:cs="Calibri"/>
                <w:color w:val="000000"/>
                <w:sz w:val="18"/>
                <w:szCs w:val="18"/>
              </w:rPr>
            </w:pPr>
            <w:r w:rsidRPr="0096241E">
              <w:rPr>
                <w:rFonts w:ascii="Calibri" w:eastAsia="Times New Roman" w:hAnsi="Calibri" w:cs="Calibri"/>
                <w:color w:val="000000"/>
                <w:sz w:val="18"/>
                <w:szCs w:val="18"/>
              </w:rPr>
              <w:t xml:space="preserve">                 492 € </w:t>
            </w:r>
          </w:p>
        </w:tc>
        <w:tc>
          <w:tcPr>
            <w:tcW w:w="1233" w:type="dxa"/>
            <w:tcBorders>
              <w:top w:val="nil"/>
              <w:left w:val="nil"/>
              <w:bottom w:val="single" w:sz="8" w:space="0" w:color="auto"/>
              <w:right w:val="single" w:sz="8" w:space="0" w:color="auto"/>
            </w:tcBorders>
            <w:shd w:val="clear" w:color="auto" w:fill="auto"/>
            <w:vAlign w:val="center"/>
            <w:hideMark/>
          </w:tcPr>
          <w:p w14:paraId="03365671" w14:textId="77777777" w:rsidR="0096241E" w:rsidRPr="0096241E" w:rsidRDefault="0096241E" w:rsidP="0096241E">
            <w:pPr>
              <w:spacing w:after="0" w:line="240" w:lineRule="auto"/>
              <w:jc w:val="righ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 xml:space="preserve">          1.420 € </w:t>
            </w:r>
          </w:p>
        </w:tc>
      </w:tr>
      <w:tr w:rsidR="0096241E" w:rsidRPr="0096241E" w14:paraId="464EC87F" w14:textId="77777777" w:rsidTr="0096241E">
        <w:trPr>
          <w:trHeight w:val="301"/>
        </w:trPr>
        <w:tc>
          <w:tcPr>
            <w:tcW w:w="3734" w:type="dxa"/>
            <w:tcBorders>
              <w:top w:val="nil"/>
              <w:left w:val="single" w:sz="8" w:space="0" w:color="auto"/>
              <w:bottom w:val="single" w:sz="8" w:space="0" w:color="auto"/>
              <w:right w:val="single" w:sz="8" w:space="0" w:color="auto"/>
            </w:tcBorders>
            <w:shd w:val="clear" w:color="000000" w:fill="FFC000"/>
            <w:noWrap/>
            <w:vAlign w:val="center"/>
            <w:hideMark/>
          </w:tcPr>
          <w:p w14:paraId="25890A35" w14:textId="77777777" w:rsidR="0096241E" w:rsidRPr="0096241E" w:rsidRDefault="0096241E" w:rsidP="0096241E">
            <w:pPr>
              <w:spacing w:after="0" w:line="240" w:lineRule="auto"/>
              <w:jc w:val="lef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TOTAL</w:t>
            </w:r>
          </w:p>
        </w:tc>
        <w:tc>
          <w:tcPr>
            <w:tcW w:w="1220" w:type="dxa"/>
            <w:tcBorders>
              <w:top w:val="nil"/>
              <w:left w:val="nil"/>
              <w:bottom w:val="single" w:sz="8" w:space="0" w:color="auto"/>
              <w:right w:val="single" w:sz="8" w:space="0" w:color="auto"/>
            </w:tcBorders>
            <w:shd w:val="clear" w:color="000000" w:fill="FFC000"/>
            <w:noWrap/>
            <w:vAlign w:val="center"/>
            <w:hideMark/>
          </w:tcPr>
          <w:p w14:paraId="155949CE" w14:textId="6CC5E6A5" w:rsidR="0096241E" w:rsidRPr="0096241E" w:rsidRDefault="0096241E" w:rsidP="0096241E">
            <w:pPr>
              <w:spacing w:after="0" w:line="240" w:lineRule="auto"/>
              <w:jc w:val="righ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 xml:space="preserve">       6.140 € </w:t>
            </w:r>
          </w:p>
        </w:tc>
        <w:tc>
          <w:tcPr>
            <w:tcW w:w="1220" w:type="dxa"/>
            <w:tcBorders>
              <w:top w:val="nil"/>
              <w:left w:val="nil"/>
              <w:bottom w:val="single" w:sz="8" w:space="0" w:color="auto"/>
              <w:right w:val="single" w:sz="8" w:space="0" w:color="auto"/>
            </w:tcBorders>
            <w:shd w:val="clear" w:color="000000" w:fill="FFC000"/>
            <w:noWrap/>
            <w:vAlign w:val="center"/>
            <w:hideMark/>
          </w:tcPr>
          <w:p w14:paraId="1D71204E" w14:textId="7F2E4897" w:rsidR="0096241E" w:rsidRPr="0096241E" w:rsidRDefault="0096241E" w:rsidP="0096241E">
            <w:pPr>
              <w:spacing w:after="0" w:line="240" w:lineRule="auto"/>
              <w:jc w:val="righ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 xml:space="preserve">         6.391 € </w:t>
            </w:r>
          </w:p>
        </w:tc>
        <w:tc>
          <w:tcPr>
            <w:tcW w:w="1383" w:type="dxa"/>
            <w:tcBorders>
              <w:top w:val="nil"/>
              <w:left w:val="nil"/>
              <w:bottom w:val="single" w:sz="8" w:space="0" w:color="auto"/>
              <w:right w:val="single" w:sz="8" w:space="0" w:color="auto"/>
            </w:tcBorders>
            <w:shd w:val="clear" w:color="000000" w:fill="FFC000"/>
            <w:noWrap/>
            <w:vAlign w:val="center"/>
            <w:hideMark/>
          </w:tcPr>
          <w:p w14:paraId="17F11A38" w14:textId="2F03B74D" w:rsidR="0096241E" w:rsidRPr="0096241E" w:rsidRDefault="0096241E" w:rsidP="0096241E">
            <w:pPr>
              <w:spacing w:after="0" w:line="240" w:lineRule="auto"/>
              <w:jc w:val="righ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 xml:space="preserve">           6.636 € </w:t>
            </w:r>
          </w:p>
        </w:tc>
        <w:tc>
          <w:tcPr>
            <w:tcW w:w="1233" w:type="dxa"/>
            <w:tcBorders>
              <w:top w:val="nil"/>
              <w:left w:val="nil"/>
              <w:bottom w:val="single" w:sz="8" w:space="0" w:color="auto"/>
              <w:right w:val="single" w:sz="8" w:space="0" w:color="auto"/>
            </w:tcBorders>
            <w:shd w:val="clear" w:color="000000" w:fill="FFC000"/>
            <w:vAlign w:val="center"/>
            <w:hideMark/>
          </w:tcPr>
          <w:p w14:paraId="17878D92" w14:textId="77777777" w:rsidR="0096241E" w:rsidRPr="0096241E" w:rsidRDefault="0096241E" w:rsidP="0096241E">
            <w:pPr>
              <w:spacing w:after="0" w:line="240" w:lineRule="auto"/>
              <w:jc w:val="right"/>
              <w:rPr>
                <w:rFonts w:ascii="Calibri" w:eastAsia="Times New Roman" w:hAnsi="Calibri" w:cs="Calibri"/>
                <w:b/>
                <w:bCs/>
                <w:color w:val="000000"/>
                <w:sz w:val="18"/>
                <w:szCs w:val="18"/>
              </w:rPr>
            </w:pPr>
            <w:r w:rsidRPr="0096241E">
              <w:rPr>
                <w:rFonts w:ascii="Calibri" w:eastAsia="Times New Roman" w:hAnsi="Calibri" w:cs="Calibri"/>
                <w:b/>
                <w:bCs/>
                <w:color w:val="000000"/>
                <w:sz w:val="18"/>
                <w:szCs w:val="18"/>
              </w:rPr>
              <w:t xml:space="preserve">        19.167 € </w:t>
            </w:r>
          </w:p>
        </w:tc>
      </w:tr>
    </w:tbl>
    <w:p w14:paraId="1005CE52" w14:textId="77777777" w:rsidR="00253D19" w:rsidRDefault="00253D19" w:rsidP="00AC1FC1">
      <w:pPr>
        <w:rPr>
          <w:rFonts w:ascii="Arial" w:hAnsi="Arial"/>
          <w:sz w:val="24"/>
          <w:szCs w:val="24"/>
          <w:lang w:val="fr-FR"/>
        </w:rPr>
      </w:pPr>
    </w:p>
    <w:p w14:paraId="3BDE8107" w14:textId="77777777" w:rsidR="00253D19" w:rsidRDefault="00253D19" w:rsidP="00AC1FC1">
      <w:pPr>
        <w:rPr>
          <w:rFonts w:ascii="Arial" w:hAnsi="Arial"/>
          <w:sz w:val="24"/>
          <w:szCs w:val="24"/>
          <w:lang w:val="fr-FR"/>
        </w:rPr>
      </w:pPr>
    </w:p>
    <w:sectPr w:rsidR="00253D19" w:rsidSect="001C5E80">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A20C" w14:textId="77777777" w:rsidR="00513102" w:rsidRDefault="00513102" w:rsidP="00AC1FC1">
      <w:r>
        <w:separator/>
      </w:r>
    </w:p>
    <w:p w14:paraId="129866E0" w14:textId="77777777" w:rsidR="00513102" w:rsidRDefault="00513102" w:rsidP="00AC1FC1"/>
    <w:p w14:paraId="7BAF61E9" w14:textId="77777777" w:rsidR="00513102" w:rsidRDefault="00513102" w:rsidP="00AC1FC1"/>
  </w:endnote>
  <w:endnote w:type="continuationSeparator" w:id="0">
    <w:p w14:paraId="0E092883" w14:textId="77777777" w:rsidR="00513102" w:rsidRDefault="00513102" w:rsidP="00AC1FC1">
      <w:r>
        <w:continuationSeparator/>
      </w:r>
    </w:p>
    <w:p w14:paraId="1063DECB" w14:textId="77777777" w:rsidR="00513102" w:rsidRDefault="00513102" w:rsidP="00AC1FC1"/>
    <w:p w14:paraId="6266C3DF" w14:textId="77777777" w:rsidR="00513102" w:rsidRDefault="00513102" w:rsidP="00AC1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236D" w14:textId="77777777" w:rsidR="002A2025" w:rsidRDefault="002A2025" w:rsidP="00AC1FC1">
    <w:pPr>
      <w:pStyle w:val="Footer"/>
    </w:pPr>
    <w:r>
      <w:fldChar w:fldCharType="begin"/>
    </w:r>
    <w:r>
      <w:instrText>PAGE   \* MERGEFORMAT</w:instrText>
    </w:r>
    <w:r>
      <w:fldChar w:fldCharType="separate"/>
    </w:r>
    <w:r>
      <w:rPr>
        <w:lang w:val="fr-FR"/>
      </w:rPr>
      <w:t>2</w:t>
    </w:r>
    <w:r>
      <w:fldChar w:fldCharType="end"/>
    </w:r>
  </w:p>
  <w:p w14:paraId="646FF63F" w14:textId="77777777" w:rsidR="002A2025" w:rsidRDefault="002A2025" w:rsidP="00AC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741D" w14:textId="77777777" w:rsidR="00513102" w:rsidRDefault="00513102" w:rsidP="00AC1FC1">
      <w:r>
        <w:separator/>
      </w:r>
    </w:p>
    <w:p w14:paraId="4BF2460A" w14:textId="77777777" w:rsidR="00513102" w:rsidRDefault="00513102" w:rsidP="00AC1FC1"/>
    <w:p w14:paraId="2875CEBE" w14:textId="77777777" w:rsidR="00513102" w:rsidRDefault="00513102" w:rsidP="00AC1FC1"/>
  </w:footnote>
  <w:footnote w:type="continuationSeparator" w:id="0">
    <w:p w14:paraId="07879F47" w14:textId="77777777" w:rsidR="00513102" w:rsidRDefault="00513102" w:rsidP="00AC1FC1">
      <w:r>
        <w:continuationSeparator/>
      </w:r>
    </w:p>
    <w:p w14:paraId="78F60CA1" w14:textId="77777777" w:rsidR="00513102" w:rsidRDefault="00513102" w:rsidP="00AC1FC1"/>
    <w:p w14:paraId="124F7247" w14:textId="77777777" w:rsidR="00513102" w:rsidRDefault="00513102" w:rsidP="00AC1FC1"/>
  </w:footnote>
  <w:footnote w:id="1">
    <w:p w14:paraId="377C48D9" w14:textId="77777777" w:rsidR="00AC1FC1" w:rsidRPr="00D455AE" w:rsidRDefault="00AC1FC1" w:rsidP="00AC1FC1">
      <w:pPr>
        <w:pStyle w:val="FootnoteText"/>
        <w:rPr>
          <w:rFonts w:asciiTheme="majorHAnsi" w:hAnsiTheme="majorHAnsi" w:cstheme="majorHAnsi"/>
          <w:sz w:val="16"/>
          <w:szCs w:val="16"/>
          <w:lang w:val="en-GB"/>
        </w:rPr>
      </w:pPr>
      <w:r w:rsidRPr="00D455AE">
        <w:rPr>
          <w:rStyle w:val="FootnoteCharacters"/>
          <w:rFonts w:asciiTheme="majorHAnsi" w:hAnsiTheme="majorHAnsi" w:cstheme="majorHAnsi"/>
          <w:sz w:val="16"/>
          <w:szCs w:val="16"/>
        </w:rPr>
        <w:footnoteRef/>
      </w:r>
      <w:r w:rsidRPr="00D455AE">
        <w:rPr>
          <w:rFonts w:asciiTheme="majorHAnsi" w:hAnsiTheme="majorHAnsi" w:cstheme="majorHAnsi"/>
          <w:sz w:val="16"/>
          <w:szCs w:val="16"/>
        </w:rPr>
        <w:t xml:space="preserve"> SOS Faim, Le paradoxe de la faim : produire sans pouvoir se nourrir. </w:t>
      </w:r>
      <w:r w:rsidRPr="00D455AE">
        <w:rPr>
          <w:rFonts w:asciiTheme="majorHAnsi" w:hAnsiTheme="majorHAnsi" w:cstheme="majorHAnsi"/>
          <w:sz w:val="16"/>
          <w:szCs w:val="16"/>
          <w:lang w:val="en-GB"/>
        </w:rPr>
        <w:t>15 décembre 2020</w:t>
      </w:r>
    </w:p>
  </w:footnote>
  <w:footnote w:id="2">
    <w:p w14:paraId="36038BFE" w14:textId="77777777" w:rsidR="00AC1FC1" w:rsidRPr="00D455AE" w:rsidRDefault="00AC1FC1" w:rsidP="00AC1FC1">
      <w:pPr>
        <w:pStyle w:val="FootnoteText"/>
        <w:rPr>
          <w:rFonts w:asciiTheme="majorHAnsi" w:hAnsiTheme="majorHAnsi" w:cstheme="majorHAnsi"/>
          <w:sz w:val="16"/>
          <w:szCs w:val="16"/>
          <w:lang w:val="en-GB"/>
        </w:rPr>
      </w:pPr>
      <w:r w:rsidRPr="00D455AE">
        <w:rPr>
          <w:rStyle w:val="FootnoteReference"/>
          <w:rFonts w:asciiTheme="majorHAnsi" w:hAnsiTheme="majorHAnsi" w:cstheme="majorHAnsi"/>
          <w:sz w:val="16"/>
          <w:szCs w:val="16"/>
        </w:rPr>
        <w:footnoteRef/>
      </w:r>
      <w:r w:rsidRPr="00D455AE">
        <w:rPr>
          <w:rFonts w:asciiTheme="majorHAnsi" w:hAnsiTheme="majorHAnsi" w:cstheme="majorHAnsi"/>
          <w:sz w:val="16"/>
          <w:szCs w:val="16"/>
          <w:lang w:val="en-GB"/>
        </w:rPr>
        <w:t xml:space="preserve"> CARE, Food security and gender equality: a synergistic understudied symphony, 2022, p.1</w:t>
      </w:r>
    </w:p>
  </w:footnote>
  <w:footnote w:id="3">
    <w:p w14:paraId="411E5CF9" w14:textId="77777777" w:rsidR="00AC1FC1" w:rsidRPr="00D455AE" w:rsidRDefault="00AC1FC1" w:rsidP="00AC1FC1">
      <w:pPr>
        <w:rPr>
          <w:rFonts w:asciiTheme="majorHAnsi" w:hAnsiTheme="majorHAnsi" w:cstheme="majorHAnsi"/>
          <w:sz w:val="16"/>
          <w:szCs w:val="16"/>
          <w:lang w:val="en-GB"/>
        </w:rPr>
      </w:pPr>
      <w:r w:rsidRPr="00D455AE">
        <w:rPr>
          <w:rStyle w:val="FootnoteCharacters"/>
          <w:rFonts w:asciiTheme="majorHAnsi" w:hAnsiTheme="majorHAnsi" w:cstheme="majorHAnsi"/>
          <w:sz w:val="16"/>
          <w:szCs w:val="16"/>
        </w:rPr>
        <w:footnoteRef/>
      </w:r>
      <w:r w:rsidRPr="00D455AE">
        <w:rPr>
          <w:rStyle w:val="FootnoteCharacters"/>
          <w:rFonts w:asciiTheme="majorHAnsi" w:hAnsiTheme="majorHAnsi" w:cstheme="majorHAnsi"/>
          <w:sz w:val="16"/>
          <w:szCs w:val="16"/>
          <w:lang w:val="en-GB"/>
        </w:rPr>
        <w:t xml:space="preserve"> </w:t>
      </w:r>
      <w:r w:rsidRPr="00D455AE">
        <w:rPr>
          <w:rFonts w:asciiTheme="majorHAnsi" w:hAnsiTheme="majorHAnsi" w:cstheme="majorHAnsi"/>
          <w:sz w:val="16"/>
          <w:szCs w:val="16"/>
          <w:lang w:val="en-GB"/>
        </w:rPr>
        <w:t>Jessica Mathews, The hunger paradox, The Washington Post, 20 septembre 1991</w:t>
      </w:r>
    </w:p>
  </w:footnote>
  <w:footnote w:id="4">
    <w:p w14:paraId="1D739DB1" w14:textId="77777777" w:rsidR="00502554" w:rsidRPr="00D455AE" w:rsidRDefault="00502554" w:rsidP="00502554">
      <w:pPr>
        <w:pStyle w:val="FootnoteText"/>
        <w:rPr>
          <w:rFonts w:asciiTheme="majorHAnsi" w:hAnsiTheme="majorHAnsi" w:cstheme="majorHAnsi"/>
          <w:sz w:val="16"/>
          <w:szCs w:val="16"/>
          <w:lang w:val="nl-BE"/>
        </w:rPr>
      </w:pPr>
      <w:r w:rsidRPr="00D455AE">
        <w:rPr>
          <w:rStyle w:val="FootnoteCharacters"/>
          <w:rFonts w:asciiTheme="majorHAnsi" w:hAnsiTheme="majorHAnsi" w:cstheme="majorHAnsi"/>
          <w:sz w:val="16"/>
          <w:szCs w:val="16"/>
        </w:rPr>
        <w:footnoteRef/>
      </w:r>
      <w:r w:rsidRPr="00D455AE">
        <w:rPr>
          <w:rFonts w:asciiTheme="majorHAnsi" w:hAnsiTheme="majorHAnsi" w:cstheme="majorHAnsi"/>
          <w:sz w:val="16"/>
          <w:szCs w:val="16"/>
          <w:lang w:val="nl-BE"/>
        </w:rPr>
        <w:t xml:space="preserve"> FAO, IFAD…, 2021, op. cit</w:t>
      </w:r>
      <w:r w:rsidRPr="00D455AE">
        <w:rPr>
          <w:rFonts w:asciiTheme="majorHAnsi" w:hAnsiTheme="majorHAnsi" w:cstheme="majorHAnsi"/>
          <w:i/>
          <w:iCs/>
          <w:sz w:val="16"/>
          <w:szCs w:val="16"/>
          <w:lang w:val="nl-BE"/>
        </w:rPr>
        <w:t>.</w:t>
      </w:r>
      <w:r w:rsidRPr="00D455AE">
        <w:rPr>
          <w:rFonts w:asciiTheme="majorHAnsi" w:hAnsiTheme="majorHAnsi" w:cstheme="majorHAnsi"/>
          <w:sz w:val="16"/>
          <w:szCs w:val="16"/>
          <w:lang w:val="nl-BE"/>
        </w:rPr>
        <w:t xml:space="preserve">, p.48  </w:t>
      </w:r>
    </w:p>
  </w:footnote>
  <w:footnote w:id="5">
    <w:p w14:paraId="2920F5C4" w14:textId="2430746E" w:rsidR="00D61C6F" w:rsidRPr="00ED7EC5" w:rsidRDefault="00D61C6F" w:rsidP="00ED7EC5">
      <w:pPr>
        <w:pStyle w:val="FootnoteText"/>
        <w:rPr>
          <w:rFonts w:asciiTheme="majorHAnsi" w:eastAsia="Calibri" w:hAnsiTheme="majorHAnsi" w:cstheme="majorHAnsi"/>
          <w:spacing w:val="0"/>
          <w:sz w:val="16"/>
          <w:szCs w:val="16"/>
          <w:lang w:val="fr-BE"/>
        </w:rPr>
      </w:pPr>
      <w:r>
        <w:rPr>
          <w:rStyle w:val="FootnoteReference"/>
        </w:rPr>
        <w:footnoteRef/>
      </w:r>
      <w:r>
        <w:t xml:space="preserve"> </w:t>
      </w:r>
      <w:r w:rsidR="00ED7EC5" w:rsidRPr="00450AF1">
        <w:rPr>
          <w:rFonts w:asciiTheme="majorHAnsi" w:eastAsia="Calibri" w:hAnsiTheme="majorHAnsi" w:cstheme="majorHAnsi"/>
          <w:i/>
          <w:iCs/>
          <w:spacing w:val="0"/>
          <w:sz w:val="16"/>
          <w:szCs w:val="16"/>
          <w:lang w:val="fr-BE"/>
        </w:rPr>
        <w:t>Evaluation FBSA. Réponse de management des ONG</w:t>
      </w:r>
      <w:r w:rsidR="00450AF1">
        <w:rPr>
          <w:rFonts w:asciiTheme="majorHAnsi" w:eastAsia="Calibri" w:hAnsiTheme="majorHAnsi" w:cstheme="majorHAnsi"/>
          <w:spacing w:val="0"/>
          <w:sz w:val="16"/>
          <w:szCs w:val="16"/>
          <w:lang w:val="fr-BE"/>
        </w:rPr>
        <w:t>,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55E9" w14:textId="77777777" w:rsidR="002A2025" w:rsidRDefault="002A2025" w:rsidP="00AC1FC1">
    <w:pPr>
      <w:pStyle w:val="Header"/>
    </w:pPr>
  </w:p>
  <w:p w14:paraId="6EBA81D1" w14:textId="77777777" w:rsidR="002A2025" w:rsidRDefault="002A2025" w:rsidP="00AC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1070" w:hanging="360"/>
      </w:pPr>
    </w:lvl>
    <w:lvl w:ilvl="1">
      <w:start w:val="1"/>
      <w:numFmt w:val="decimal"/>
      <w:lvlText w:val="%1.%2."/>
      <w:lvlJc w:val="left"/>
      <w:pPr>
        <w:tabs>
          <w:tab w:val="num" w:pos="0"/>
        </w:tabs>
        <w:ind w:left="1430" w:hanging="720"/>
      </w:pPr>
      <w:rPr>
        <w:rFonts w:hint="default"/>
        <w:sz w:val="28"/>
      </w:rPr>
    </w:lvl>
    <w:lvl w:ilvl="2">
      <w:start w:val="1"/>
      <w:numFmt w:val="decimal"/>
      <w:lvlText w:val="%1.%2.%3."/>
      <w:lvlJc w:val="left"/>
      <w:pPr>
        <w:tabs>
          <w:tab w:val="num" w:pos="0"/>
        </w:tabs>
        <w:ind w:left="1430" w:hanging="720"/>
      </w:pPr>
      <w:rPr>
        <w:rFonts w:hint="default"/>
        <w:sz w:val="22"/>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4"/>
        <w:szCs w:val="24"/>
        <w:lang w:val="fr-FR" w:eastAsia="fr-FR"/>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4472C4"/>
        <w:sz w:val="24"/>
        <w:szCs w:val="24"/>
        <w:lang w:val="fr-FR" w:eastAsia="fr-FR"/>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color w:val="4472C4"/>
        <w:sz w:val="24"/>
        <w:szCs w:val="24"/>
        <w:lang w:val="fr-FR" w:eastAsia="fr-FR"/>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80" w:hanging="360"/>
      </w:pPr>
      <w:rPr>
        <w:rFonts w:ascii="Symbol" w:hAnsi="Symbol" w:cs="Symbol" w:hint="default"/>
        <w:lang w:val="fr-FR" w:eastAsia="en-US"/>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sz w:val="24"/>
        <w:szCs w:val="24"/>
        <w:lang w:val="fr-FR" w:eastAsia="fr-FR"/>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sz w:val="24"/>
        <w:szCs w:val="24"/>
        <w:lang w:val="fr-FR" w:eastAsia="fr-FR"/>
      </w:rPr>
    </w:lvl>
  </w:abstractNum>
  <w:abstractNum w:abstractNumId="7"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singleLevel"/>
    <w:tmpl w:val="00000009"/>
    <w:name w:val="WW8Num16"/>
    <w:lvl w:ilvl="0">
      <w:start w:val="5"/>
      <w:numFmt w:val="bullet"/>
      <w:lvlText w:val="-"/>
      <w:lvlJc w:val="left"/>
      <w:pPr>
        <w:tabs>
          <w:tab w:val="num" w:pos="0"/>
        </w:tabs>
        <w:ind w:left="0" w:firstLine="0"/>
      </w:pPr>
      <w:rPr>
        <w:rFonts w:ascii="Calibri" w:hAnsi="Calibri" w:cs="Calibri" w:hint="default"/>
      </w:rPr>
    </w:lvl>
  </w:abstractNum>
  <w:abstractNum w:abstractNumId="9" w15:restartNumberingAfterBreak="0">
    <w:nsid w:val="0000000A"/>
    <w:multiLevelType w:val="multilevel"/>
    <w:tmpl w:val="0000000A"/>
    <w:name w:val="WW8Num17"/>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0C"/>
    <w:multiLevelType w:val="singleLevel"/>
    <w:tmpl w:val="0000000C"/>
    <w:name w:val="WW8Num25"/>
    <w:lvl w:ilvl="0">
      <w:start w:val="1"/>
      <w:numFmt w:val="bullet"/>
      <w:lvlText w:val=""/>
      <w:lvlJc w:val="left"/>
      <w:pPr>
        <w:tabs>
          <w:tab w:val="num" w:pos="0"/>
        </w:tabs>
        <w:ind w:left="360" w:hanging="360"/>
      </w:pPr>
      <w:rPr>
        <w:rFonts w:ascii="Symbol" w:hAnsi="Symbol" w:cs="Symbol" w:hint="default"/>
        <w:lang w:val="fr-FR"/>
      </w:rPr>
    </w:lvl>
  </w:abstractNum>
  <w:abstractNum w:abstractNumId="11" w15:restartNumberingAfterBreak="0">
    <w:nsid w:val="0000000D"/>
    <w:multiLevelType w:val="singleLevel"/>
    <w:tmpl w:val="0000000D"/>
    <w:name w:val="WW8Num27"/>
    <w:lvl w:ilvl="0">
      <w:start w:val="1"/>
      <w:numFmt w:val="bullet"/>
      <w:lvlText w:val=""/>
      <w:lvlJc w:val="left"/>
      <w:pPr>
        <w:tabs>
          <w:tab w:val="num" w:pos="0"/>
        </w:tabs>
        <w:ind w:left="360" w:hanging="360"/>
      </w:pPr>
      <w:rPr>
        <w:rFonts w:ascii="Symbol" w:hAnsi="Symbol" w:cs="Symbol" w:hint="default"/>
        <w:lang w:val="fr-FR"/>
      </w:rPr>
    </w:lvl>
  </w:abstractNum>
  <w:abstractNum w:abstractNumId="12" w15:restartNumberingAfterBreak="0">
    <w:nsid w:val="0000000F"/>
    <w:multiLevelType w:val="multilevel"/>
    <w:tmpl w:val="0000000F"/>
    <w:name w:val="WW8Num29"/>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10"/>
    <w:multiLevelType w:val="multilevel"/>
    <w:tmpl w:val="00000010"/>
    <w:name w:val="WW8Num36"/>
    <w:lvl w:ilvl="0">
      <w:start w:val="1"/>
      <w:numFmt w:val="bullet"/>
      <w:lvlText w:val=""/>
      <w:lvlJc w:val="left"/>
      <w:pPr>
        <w:tabs>
          <w:tab w:val="num" w:pos="720"/>
        </w:tabs>
        <w:ind w:left="720" w:hanging="360"/>
      </w:pPr>
      <w:rPr>
        <w:rFonts w:ascii="Symbol" w:hAnsi="Symbol" w:cs="Symbol" w:hint="default"/>
        <w:sz w:val="20"/>
      </w:rPr>
    </w:lvl>
    <w:lvl w:ilv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4293FDB"/>
    <w:multiLevelType w:val="hybridMultilevel"/>
    <w:tmpl w:val="CFF8E6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9937A09"/>
    <w:multiLevelType w:val="hybridMultilevel"/>
    <w:tmpl w:val="895CF39A"/>
    <w:lvl w:ilvl="0" w:tplc="B0AAFB4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FFF56E7"/>
    <w:multiLevelType w:val="hybridMultilevel"/>
    <w:tmpl w:val="7518B74E"/>
    <w:lvl w:ilvl="0" w:tplc="0DF26984">
      <w:start w:val="1"/>
      <w:numFmt w:val="decimal"/>
      <w:lvlText w:val="%1."/>
      <w:lvlJc w:val="left"/>
      <w:pPr>
        <w:ind w:left="720" w:hanging="360"/>
      </w:pPr>
      <w:rPr>
        <w:rFonts w:asciiTheme="minorHAnsi" w:eastAsiaTheme="minorEastAsia" w:hAnsiTheme="minorHAnsi" w:cstheme="minorBidi" w:hint="default"/>
        <w:color w:val="auto"/>
        <w:sz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24504E2"/>
    <w:multiLevelType w:val="hybridMultilevel"/>
    <w:tmpl w:val="A7E8E04C"/>
    <w:lvl w:ilvl="0" w:tplc="72AE035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2865064"/>
    <w:multiLevelType w:val="multilevel"/>
    <w:tmpl w:val="48EAC7A0"/>
    <w:lvl w:ilvl="0">
      <w:start w:val="1"/>
      <w:numFmt w:val="decimal"/>
      <w:pStyle w:val="Heading1"/>
      <w:lvlText w:val="%1."/>
      <w:lvlJc w:val="left"/>
      <w:pPr>
        <w:ind w:left="360" w:hanging="360"/>
      </w:pPr>
      <w:rPr>
        <w:rFonts w:eastAsia="Batang"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5C01ABF"/>
    <w:multiLevelType w:val="multilevel"/>
    <w:tmpl w:val="6CB8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9F101E"/>
    <w:multiLevelType w:val="hybridMultilevel"/>
    <w:tmpl w:val="3AAAE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B4A17A5"/>
    <w:multiLevelType w:val="hybridMultilevel"/>
    <w:tmpl w:val="767CEF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0AC1A13"/>
    <w:multiLevelType w:val="hybridMultilevel"/>
    <w:tmpl w:val="2122772E"/>
    <w:lvl w:ilvl="0" w:tplc="5CC6AA98">
      <w:start w:val="13"/>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7E95908"/>
    <w:multiLevelType w:val="hybridMultilevel"/>
    <w:tmpl w:val="D31670E4"/>
    <w:lvl w:ilvl="0" w:tplc="08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8BA219F"/>
    <w:multiLevelType w:val="hybridMultilevel"/>
    <w:tmpl w:val="0C00A05A"/>
    <w:lvl w:ilvl="0" w:tplc="72AE035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96661A1"/>
    <w:multiLevelType w:val="hybridMultilevel"/>
    <w:tmpl w:val="4D728C9C"/>
    <w:lvl w:ilvl="0" w:tplc="608EAA50">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35C15C55"/>
    <w:multiLevelType w:val="multilevel"/>
    <w:tmpl w:val="E32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686DA6"/>
    <w:multiLevelType w:val="hybridMultilevel"/>
    <w:tmpl w:val="5824B698"/>
    <w:lvl w:ilvl="0" w:tplc="95042BD8">
      <w:start w:val="1"/>
      <w:numFmt w:val="bullet"/>
      <w:lvlText w:val="-"/>
      <w:lvlJc w:val="left"/>
      <w:pPr>
        <w:tabs>
          <w:tab w:val="num" w:pos="360"/>
        </w:tabs>
        <w:ind w:left="360"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BD21A80"/>
    <w:multiLevelType w:val="hybridMultilevel"/>
    <w:tmpl w:val="D4B01EEA"/>
    <w:lvl w:ilvl="0" w:tplc="9D9296D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C930DB9"/>
    <w:multiLevelType w:val="hybridMultilevel"/>
    <w:tmpl w:val="D3448080"/>
    <w:lvl w:ilvl="0" w:tplc="B5D42D28">
      <w:numFmt w:val="bullet"/>
      <w:lvlText w:val="-"/>
      <w:lvlJc w:val="left"/>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B7850"/>
    <w:multiLevelType w:val="hybridMultilevel"/>
    <w:tmpl w:val="7DF6EB6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53110456"/>
    <w:multiLevelType w:val="hybridMultilevel"/>
    <w:tmpl w:val="662AD614"/>
    <w:lvl w:ilvl="0" w:tplc="47F4C962">
      <w:start w:val="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D170A67"/>
    <w:multiLevelType w:val="multilevel"/>
    <w:tmpl w:val="716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41B2A"/>
    <w:multiLevelType w:val="hybridMultilevel"/>
    <w:tmpl w:val="E2A43DC8"/>
    <w:lvl w:ilvl="0" w:tplc="EE480958">
      <w:start w:val="2"/>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E3E154F"/>
    <w:multiLevelType w:val="multilevel"/>
    <w:tmpl w:val="747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CD67FC"/>
    <w:multiLevelType w:val="hybridMultilevel"/>
    <w:tmpl w:val="E2B6EE78"/>
    <w:lvl w:ilvl="0" w:tplc="B5D42D28">
      <w:numFmt w:val="bullet"/>
      <w:lvlText w:val="-"/>
      <w:lvlJc w:val="left"/>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E914E75"/>
    <w:multiLevelType w:val="hybridMultilevel"/>
    <w:tmpl w:val="CE261806"/>
    <w:lvl w:ilvl="0" w:tplc="61D0C534">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F0C4AD4"/>
    <w:multiLevelType w:val="hybridMultilevel"/>
    <w:tmpl w:val="50A2A572"/>
    <w:lvl w:ilvl="0" w:tplc="ADF875A8">
      <w:start w:val="1"/>
      <w:numFmt w:val="decimal"/>
      <w:lvlText w:val="%1."/>
      <w:lvlJc w:val="left"/>
      <w:pPr>
        <w:ind w:left="720" w:hanging="360"/>
      </w:pPr>
      <w:rPr>
        <w:rFonts w:eastAsia="Batang"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09014499">
    <w:abstractNumId w:val="0"/>
  </w:num>
  <w:num w:numId="2" w16cid:durableId="542865546">
    <w:abstractNumId w:val="1"/>
  </w:num>
  <w:num w:numId="3" w16cid:durableId="404105348">
    <w:abstractNumId w:val="2"/>
  </w:num>
  <w:num w:numId="4" w16cid:durableId="437528764">
    <w:abstractNumId w:val="3"/>
  </w:num>
  <w:num w:numId="5" w16cid:durableId="409161565">
    <w:abstractNumId w:val="4"/>
  </w:num>
  <w:num w:numId="6" w16cid:durableId="1425302240">
    <w:abstractNumId w:val="5"/>
  </w:num>
  <w:num w:numId="7" w16cid:durableId="502163070">
    <w:abstractNumId w:val="6"/>
  </w:num>
  <w:num w:numId="8" w16cid:durableId="962659529">
    <w:abstractNumId w:val="29"/>
  </w:num>
  <w:num w:numId="9" w16cid:durableId="984359582">
    <w:abstractNumId w:val="32"/>
  </w:num>
  <w:num w:numId="10" w16cid:durableId="1931158996">
    <w:abstractNumId w:val="26"/>
  </w:num>
  <w:num w:numId="11" w16cid:durableId="850490293">
    <w:abstractNumId w:val="34"/>
  </w:num>
  <w:num w:numId="12" w16cid:durableId="1034503075">
    <w:abstractNumId w:val="19"/>
  </w:num>
  <w:num w:numId="13" w16cid:durableId="1461260941">
    <w:abstractNumId w:val="17"/>
  </w:num>
  <w:num w:numId="14" w16cid:durableId="1077247355">
    <w:abstractNumId w:val="24"/>
  </w:num>
  <w:num w:numId="15" w16cid:durableId="2115782301">
    <w:abstractNumId w:val="35"/>
  </w:num>
  <w:num w:numId="16" w16cid:durableId="1044214940">
    <w:abstractNumId w:val="28"/>
  </w:num>
  <w:num w:numId="17" w16cid:durableId="1519545865">
    <w:abstractNumId w:val="37"/>
  </w:num>
  <w:num w:numId="18" w16cid:durableId="1818837070">
    <w:abstractNumId w:val="15"/>
  </w:num>
  <w:num w:numId="19" w16cid:durableId="1509829279">
    <w:abstractNumId w:val="8"/>
  </w:num>
  <w:num w:numId="20" w16cid:durableId="463357418">
    <w:abstractNumId w:val="13"/>
  </w:num>
  <w:num w:numId="21" w16cid:durableId="63187705">
    <w:abstractNumId w:val="7"/>
  </w:num>
  <w:num w:numId="22" w16cid:durableId="1150633043">
    <w:abstractNumId w:val="9"/>
  </w:num>
  <w:num w:numId="23" w16cid:durableId="523519997">
    <w:abstractNumId w:val="12"/>
  </w:num>
  <w:num w:numId="24" w16cid:durableId="577595325">
    <w:abstractNumId w:val="10"/>
  </w:num>
  <w:num w:numId="25" w16cid:durableId="1463303646">
    <w:abstractNumId w:val="11"/>
  </w:num>
  <w:num w:numId="26" w16cid:durableId="142160347">
    <w:abstractNumId w:val="27"/>
  </w:num>
  <w:num w:numId="27" w16cid:durableId="1602369576">
    <w:abstractNumId w:val="20"/>
  </w:num>
  <w:num w:numId="28" w16cid:durableId="1482428536">
    <w:abstractNumId w:val="0"/>
    <w:lvlOverride w:ilvl="0">
      <w:startOverride w:val="13"/>
    </w:lvlOverride>
  </w:num>
  <w:num w:numId="29" w16cid:durableId="58405156">
    <w:abstractNumId w:val="33"/>
  </w:num>
  <w:num w:numId="30" w16cid:durableId="1120146239">
    <w:abstractNumId w:val="18"/>
  </w:num>
  <w:num w:numId="31" w16cid:durableId="1502236482">
    <w:abstractNumId w:val="23"/>
  </w:num>
  <w:num w:numId="32" w16cid:durableId="2142258491">
    <w:abstractNumId w:val="25"/>
  </w:num>
  <w:num w:numId="33" w16cid:durableId="1523133003">
    <w:abstractNumId w:val="30"/>
  </w:num>
  <w:num w:numId="34" w16cid:durableId="1913932612">
    <w:abstractNumId w:val="31"/>
  </w:num>
  <w:num w:numId="35" w16cid:durableId="1256672661">
    <w:abstractNumId w:val="21"/>
  </w:num>
  <w:num w:numId="36" w16cid:durableId="1230769809">
    <w:abstractNumId w:val="16"/>
  </w:num>
  <w:num w:numId="37" w16cid:durableId="1207832682">
    <w:abstractNumId w:val="18"/>
  </w:num>
  <w:num w:numId="38" w16cid:durableId="1718123317">
    <w:abstractNumId w:val="18"/>
  </w:num>
  <w:num w:numId="39" w16cid:durableId="1120221297">
    <w:abstractNumId w:val="18"/>
  </w:num>
  <w:num w:numId="40" w16cid:durableId="1135368973">
    <w:abstractNumId w:val="18"/>
  </w:num>
  <w:num w:numId="41" w16cid:durableId="1220901493">
    <w:abstractNumId w:val="22"/>
  </w:num>
  <w:num w:numId="42" w16cid:durableId="1994794573">
    <w:abstractNumId w:val="14"/>
  </w:num>
  <w:num w:numId="43" w16cid:durableId="4695928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C"/>
    <w:rsid w:val="00000C5F"/>
    <w:rsid w:val="00001301"/>
    <w:rsid w:val="00004D67"/>
    <w:rsid w:val="0000555F"/>
    <w:rsid w:val="000070B6"/>
    <w:rsid w:val="000076F8"/>
    <w:rsid w:val="00007C9F"/>
    <w:rsid w:val="00010D84"/>
    <w:rsid w:val="00014F27"/>
    <w:rsid w:val="000155F6"/>
    <w:rsid w:val="00016582"/>
    <w:rsid w:val="0002263B"/>
    <w:rsid w:val="000242E1"/>
    <w:rsid w:val="000260B3"/>
    <w:rsid w:val="000275B2"/>
    <w:rsid w:val="00031B9E"/>
    <w:rsid w:val="00032BFB"/>
    <w:rsid w:val="00033455"/>
    <w:rsid w:val="0003399C"/>
    <w:rsid w:val="0004049E"/>
    <w:rsid w:val="000413A8"/>
    <w:rsid w:val="00041D5F"/>
    <w:rsid w:val="000422C4"/>
    <w:rsid w:val="00044D26"/>
    <w:rsid w:val="00044E11"/>
    <w:rsid w:val="00045170"/>
    <w:rsid w:val="0005062D"/>
    <w:rsid w:val="00051F67"/>
    <w:rsid w:val="00052C81"/>
    <w:rsid w:val="00054E7F"/>
    <w:rsid w:val="00056F32"/>
    <w:rsid w:val="00056FFF"/>
    <w:rsid w:val="0005708E"/>
    <w:rsid w:val="00057D50"/>
    <w:rsid w:val="00060A32"/>
    <w:rsid w:val="0006107E"/>
    <w:rsid w:val="0006474B"/>
    <w:rsid w:val="00064A4D"/>
    <w:rsid w:val="00065C93"/>
    <w:rsid w:val="0006707B"/>
    <w:rsid w:val="00070995"/>
    <w:rsid w:val="000713C3"/>
    <w:rsid w:val="00071550"/>
    <w:rsid w:val="000744F2"/>
    <w:rsid w:val="00074601"/>
    <w:rsid w:val="00075482"/>
    <w:rsid w:val="000771A7"/>
    <w:rsid w:val="00080412"/>
    <w:rsid w:val="0008076A"/>
    <w:rsid w:val="000808BE"/>
    <w:rsid w:val="00081910"/>
    <w:rsid w:val="000832D3"/>
    <w:rsid w:val="00084F70"/>
    <w:rsid w:val="00085D7E"/>
    <w:rsid w:val="00086C81"/>
    <w:rsid w:val="000870B4"/>
    <w:rsid w:val="00090913"/>
    <w:rsid w:val="000914F2"/>
    <w:rsid w:val="000918BA"/>
    <w:rsid w:val="00094497"/>
    <w:rsid w:val="0009514E"/>
    <w:rsid w:val="000A2B86"/>
    <w:rsid w:val="000A3C32"/>
    <w:rsid w:val="000A51D8"/>
    <w:rsid w:val="000A5708"/>
    <w:rsid w:val="000B0BD1"/>
    <w:rsid w:val="000B7D6A"/>
    <w:rsid w:val="000C11BF"/>
    <w:rsid w:val="000C2E3E"/>
    <w:rsid w:val="000C35AA"/>
    <w:rsid w:val="000C3EEB"/>
    <w:rsid w:val="000C429F"/>
    <w:rsid w:val="000C4FE6"/>
    <w:rsid w:val="000C703E"/>
    <w:rsid w:val="000D1217"/>
    <w:rsid w:val="000D149E"/>
    <w:rsid w:val="000D19BC"/>
    <w:rsid w:val="000D2CCD"/>
    <w:rsid w:val="000D2D7F"/>
    <w:rsid w:val="000D52A9"/>
    <w:rsid w:val="000D5E72"/>
    <w:rsid w:val="000D64FC"/>
    <w:rsid w:val="000E30DF"/>
    <w:rsid w:val="000E66A0"/>
    <w:rsid w:val="000F0DE7"/>
    <w:rsid w:val="000F1605"/>
    <w:rsid w:val="000F64FE"/>
    <w:rsid w:val="000F6746"/>
    <w:rsid w:val="001010BE"/>
    <w:rsid w:val="00101631"/>
    <w:rsid w:val="00101B6E"/>
    <w:rsid w:val="001021BB"/>
    <w:rsid w:val="00104585"/>
    <w:rsid w:val="00104771"/>
    <w:rsid w:val="0010512C"/>
    <w:rsid w:val="00105864"/>
    <w:rsid w:val="00106B1B"/>
    <w:rsid w:val="00106CBD"/>
    <w:rsid w:val="001073B6"/>
    <w:rsid w:val="00110D7A"/>
    <w:rsid w:val="00110E37"/>
    <w:rsid w:val="00112684"/>
    <w:rsid w:val="00113B53"/>
    <w:rsid w:val="00115A16"/>
    <w:rsid w:val="0011705E"/>
    <w:rsid w:val="00120565"/>
    <w:rsid w:val="001213F1"/>
    <w:rsid w:val="0012351A"/>
    <w:rsid w:val="00124DE8"/>
    <w:rsid w:val="00124FC6"/>
    <w:rsid w:val="00125DDE"/>
    <w:rsid w:val="00126A47"/>
    <w:rsid w:val="00131633"/>
    <w:rsid w:val="00131D50"/>
    <w:rsid w:val="00132D13"/>
    <w:rsid w:val="001365EF"/>
    <w:rsid w:val="00137698"/>
    <w:rsid w:val="001408AE"/>
    <w:rsid w:val="001413AF"/>
    <w:rsid w:val="00142A7B"/>
    <w:rsid w:val="00145DF5"/>
    <w:rsid w:val="00146035"/>
    <w:rsid w:val="00146FF5"/>
    <w:rsid w:val="00147B66"/>
    <w:rsid w:val="0015232D"/>
    <w:rsid w:val="001549BF"/>
    <w:rsid w:val="001576A7"/>
    <w:rsid w:val="00157841"/>
    <w:rsid w:val="00161E83"/>
    <w:rsid w:val="0016205B"/>
    <w:rsid w:val="001627AB"/>
    <w:rsid w:val="001666C8"/>
    <w:rsid w:val="00166E85"/>
    <w:rsid w:val="00167AF4"/>
    <w:rsid w:val="00170123"/>
    <w:rsid w:val="0017167C"/>
    <w:rsid w:val="001732EE"/>
    <w:rsid w:val="0017464A"/>
    <w:rsid w:val="00175117"/>
    <w:rsid w:val="00175B45"/>
    <w:rsid w:val="0018040B"/>
    <w:rsid w:val="001813AB"/>
    <w:rsid w:val="001818C5"/>
    <w:rsid w:val="001823E3"/>
    <w:rsid w:val="00183D1A"/>
    <w:rsid w:val="00193E31"/>
    <w:rsid w:val="00197137"/>
    <w:rsid w:val="00197E77"/>
    <w:rsid w:val="001A0B38"/>
    <w:rsid w:val="001A25DB"/>
    <w:rsid w:val="001A28B9"/>
    <w:rsid w:val="001A2FF7"/>
    <w:rsid w:val="001A3C3B"/>
    <w:rsid w:val="001A4594"/>
    <w:rsid w:val="001A4F86"/>
    <w:rsid w:val="001A5E05"/>
    <w:rsid w:val="001B1710"/>
    <w:rsid w:val="001C34AF"/>
    <w:rsid w:val="001C48C4"/>
    <w:rsid w:val="001C4E72"/>
    <w:rsid w:val="001C5DCA"/>
    <w:rsid w:val="001C5E80"/>
    <w:rsid w:val="001C66D4"/>
    <w:rsid w:val="001D01B4"/>
    <w:rsid w:val="001D0BDC"/>
    <w:rsid w:val="001D71BB"/>
    <w:rsid w:val="001E1F24"/>
    <w:rsid w:val="001E1F6E"/>
    <w:rsid w:val="001E3FA9"/>
    <w:rsid w:val="001E5EDC"/>
    <w:rsid w:val="001E6345"/>
    <w:rsid w:val="001E6678"/>
    <w:rsid w:val="001E699F"/>
    <w:rsid w:val="001E78D0"/>
    <w:rsid w:val="001F0A36"/>
    <w:rsid w:val="001F1C0D"/>
    <w:rsid w:val="001F1EE4"/>
    <w:rsid w:val="001F22B1"/>
    <w:rsid w:val="001F3DAF"/>
    <w:rsid w:val="001F4EC5"/>
    <w:rsid w:val="002001FB"/>
    <w:rsid w:val="002046C8"/>
    <w:rsid w:val="0020648A"/>
    <w:rsid w:val="00212776"/>
    <w:rsid w:val="00212D62"/>
    <w:rsid w:val="002146AB"/>
    <w:rsid w:val="002175FD"/>
    <w:rsid w:val="00222066"/>
    <w:rsid w:val="002223CB"/>
    <w:rsid w:val="0022583E"/>
    <w:rsid w:val="00225E5F"/>
    <w:rsid w:val="00231156"/>
    <w:rsid w:val="0023161D"/>
    <w:rsid w:val="00234041"/>
    <w:rsid w:val="00234D3F"/>
    <w:rsid w:val="00235731"/>
    <w:rsid w:val="00237545"/>
    <w:rsid w:val="002409C2"/>
    <w:rsid w:val="00246FF8"/>
    <w:rsid w:val="0024762C"/>
    <w:rsid w:val="00247FA1"/>
    <w:rsid w:val="0025059D"/>
    <w:rsid w:val="00251D3C"/>
    <w:rsid w:val="00252C1D"/>
    <w:rsid w:val="00253D19"/>
    <w:rsid w:val="002540DA"/>
    <w:rsid w:val="00256F1B"/>
    <w:rsid w:val="0025794D"/>
    <w:rsid w:val="00257A3A"/>
    <w:rsid w:val="002621CE"/>
    <w:rsid w:val="00263590"/>
    <w:rsid w:val="002679CE"/>
    <w:rsid w:val="00267C1F"/>
    <w:rsid w:val="00271ED8"/>
    <w:rsid w:val="00273BB3"/>
    <w:rsid w:val="00273C04"/>
    <w:rsid w:val="00275AE3"/>
    <w:rsid w:val="0027677A"/>
    <w:rsid w:val="00276BC2"/>
    <w:rsid w:val="0028146F"/>
    <w:rsid w:val="0028262C"/>
    <w:rsid w:val="00287D03"/>
    <w:rsid w:val="00291BCF"/>
    <w:rsid w:val="00291F00"/>
    <w:rsid w:val="00293FD0"/>
    <w:rsid w:val="00296433"/>
    <w:rsid w:val="0029795D"/>
    <w:rsid w:val="002A2025"/>
    <w:rsid w:val="002A346B"/>
    <w:rsid w:val="002A3533"/>
    <w:rsid w:val="002A3C27"/>
    <w:rsid w:val="002A41CF"/>
    <w:rsid w:val="002A57CC"/>
    <w:rsid w:val="002A5BAF"/>
    <w:rsid w:val="002B28E5"/>
    <w:rsid w:val="002B53A0"/>
    <w:rsid w:val="002B6652"/>
    <w:rsid w:val="002B7B79"/>
    <w:rsid w:val="002C3EB1"/>
    <w:rsid w:val="002C678C"/>
    <w:rsid w:val="002D15F5"/>
    <w:rsid w:val="002D3F4A"/>
    <w:rsid w:val="002D4147"/>
    <w:rsid w:val="002E1C73"/>
    <w:rsid w:val="002E2A52"/>
    <w:rsid w:val="002E317D"/>
    <w:rsid w:val="002E36A5"/>
    <w:rsid w:val="002E3DC4"/>
    <w:rsid w:val="002E6722"/>
    <w:rsid w:val="002F3EBB"/>
    <w:rsid w:val="002F522E"/>
    <w:rsid w:val="002F6B8B"/>
    <w:rsid w:val="003014A2"/>
    <w:rsid w:val="003019E9"/>
    <w:rsid w:val="003020F8"/>
    <w:rsid w:val="0030223F"/>
    <w:rsid w:val="00311039"/>
    <w:rsid w:val="00315039"/>
    <w:rsid w:val="00321B7F"/>
    <w:rsid w:val="00323A62"/>
    <w:rsid w:val="00325CB8"/>
    <w:rsid w:val="00327E2E"/>
    <w:rsid w:val="00333839"/>
    <w:rsid w:val="0034063E"/>
    <w:rsid w:val="00340BE3"/>
    <w:rsid w:val="00342271"/>
    <w:rsid w:val="00342B8E"/>
    <w:rsid w:val="00342E04"/>
    <w:rsid w:val="00345BA6"/>
    <w:rsid w:val="00347FB0"/>
    <w:rsid w:val="003507C3"/>
    <w:rsid w:val="00353BD0"/>
    <w:rsid w:val="00354E10"/>
    <w:rsid w:val="0035600A"/>
    <w:rsid w:val="0035686D"/>
    <w:rsid w:val="0036105F"/>
    <w:rsid w:val="00361E4D"/>
    <w:rsid w:val="00365867"/>
    <w:rsid w:val="00371E90"/>
    <w:rsid w:val="00373629"/>
    <w:rsid w:val="00374CF3"/>
    <w:rsid w:val="0038001D"/>
    <w:rsid w:val="0038013C"/>
    <w:rsid w:val="00381A52"/>
    <w:rsid w:val="00385687"/>
    <w:rsid w:val="00385FCA"/>
    <w:rsid w:val="0038663A"/>
    <w:rsid w:val="00391AFE"/>
    <w:rsid w:val="003921C0"/>
    <w:rsid w:val="00395299"/>
    <w:rsid w:val="00396E96"/>
    <w:rsid w:val="003973A6"/>
    <w:rsid w:val="003A0159"/>
    <w:rsid w:val="003A22C3"/>
    <w:rsid w:val="003A4947"/>
    <w:rsid w:val="003A56F6"/>
    <w:rsid w:val="003A6896"/>
    <w:rsid w:val="003A6AA4"/>
    <w:rsid w:val="003B0C45"/>
    <w:rsid w:val="003B16FB"/>
    <w:rsid w:val="003B2888"/>
    <w:rsid w:val="003B45C8"/>
    <w:rsid w:val="003B48FC"/>
    <w:rsid w:val="003B5009"/>
    <w:rsid w:val="003B6EC3"/>
    <w:rsid w:val="003C04C5"/>
    <w:rsid w:val="003C06D4"/>
    <w:rsid w:val="003C30B9"/>
    <w:rsid w:val="003C30C0"/>
    <w:rsid w:val="003C4F54"/>
    <w:rsid w:val="003C5033"/>
    <w:rsid w:val="003C6E21"/>
    <w:rsid w:val="003D0533"/>
    <w:rsid w:val="003D1189"/>
    <w:rsid w:val="003D1210"/>
    <w:rsid w:val="003D4AF8"/>
    <w:rsid w:val="003D6AA5"/>
    <w:rsid w:val="003D7BC0"/>
    <w:rsid w:val="003E16C4"/>
    <w:rsid w:val="003E5D70"/>
    <w:rsid w:val="003E66CC"/>
    <w:rsid w:val="003E76CD"/>
    <w:rsid w:val="003F0756"/>
    <w:rsid w:val="003F0CBA"/>
    <w:rsid w:val="003F3A01"/>
    <w:rsid w:val="003F41A1"/>
    <w:rsid w:val="003F46CE"/>
    <w:rsid w:val="003F5B41"/>
    <w:rsid w:val="003F6FED"/>
    <w:rsid w:val="0040023F"/>
    <w:rsid w:val="004025E7"/>
    <w:rsid w:val="00403434"/>
    <w:rsid w:val="00403B22"/>
    <w:rsid w:val="00403D95"/>
    <w:rsid w:val="00404C9E"/>
    <w:rsid w:val="0040537A"/>
    <w:rsid w:val="00406631"/>
    <w:rsid w:val="00406635"/>
    <w:rsid w:val="00406D42"/>
    <w:rsid w:val="00411A3C"/>
    <w:rsid w:val="00411F8E"/>
    <w:rsid w:val="004125E8"/>
    <w:rsid w:val="00412C5D"/>
    <w:rsid w:val="00413031"/>
    <w:rsid w:val="004139BB"/>
    <w:rsid w:val="004156B5"/>
    <w:rsid w:val="00416C2E"/>
    <w:rsid w:val="004210CD"/>
    <w:rsid w:val="004242BA"/>
    <w:rsid w:val="004246B1"/>
    <w:rsid w:val="00426011"/>
    <w:rsid w:val="00430FA5"/>
    <w:rsid w:val="00441809"/>
    <w:rsid w:val="00442867"/>
    <w:rsid w:val="00442B86"/>
    <w:rsid w:val="00442C4E"/>
    <w:rsid w:val="004462E0"/>
    <w:rsid w:val="00446519"/>
    <w:rsid w:val="00450AF1"/>
    <w:rsid w:val="00451516"/>
    <w:rsid w:val="004518AC"/>
    <w:rsid w:val="00451981"/>
    <w:rsid w:val="004527F6"/>
    <w:rsid w:val="0045294F"/>
    <w:rsid w:val="00456A5D"/>
    <w:rsid w:val="00462445"/>
    <w:rsid w:val="00474213"/>
    <w:rsid w:val="0047510A"/>
    <w:rsid w:val="004768F9"/>
    <w:rsid w:val="00481636"/>
    <w:rsid w:val="00482840"/>
    <w:rsid w:val="004900D7"/>
    <w:rsid w:val="0049065F"/>
    <w:rsid w:val="004907D2"/>
    <w:rsid w:val="00492FDA"/>
    <w:rsid w:val="00494CCA"/>
    <w:rsid w:val="00494D80"/>
    <w:rsid w:val="004950AF"/>
    <w:rsid w:val="00496BF9"/>
    <w:rsid w:val="00497417"/>
    <w:rsid w:val="00497C39"/>
    <w:rsid w:val="00497DEC"/>
    <w:rsid w:val="004A0A2C"/>
    <w:rsid w:val="004A0B79"/>
    <w:rsid w:val="004A17A4"/>
    <w:rsid w:val="004A1B8A"/>
    <w:rsid w:val="004A23E7"/>
    <w:rsid w:val="004A56BA"/>
    <w:rsid w:val="004B1EF1"/>
    <w:rsid w:val="004B2C88"/>
    <w:rsid w:val="004B42FF"/>
    <w:rsid w:val="004B5782"/>
    <w:rsid w:val="004B5BFF"/>
    <w:rsid w:val="004B5E03"/>
    <w:rsid w:val="004B6635"/>
    <w:rsid w:val="004B6741"/>
    <w:rsid w:val="004B7B32"/>
    <w:rsid w:val="004C1236"/>
    <w:rsid w:val="004C1C7F"/>
    <w:rsid w:val="004C2CAD"/>
    <w:rsid w:val="004D0436"/>
    <w:rsid w:val="004D28F9"/>
    <w:rsid w:val="004D4D77"/>
    <w:rsid w:val="004D6C7B"/>
    <w:rsid w:val="004E0BE3"/>
    <w:rsid w:val="004E3FB8"/>
    <w:rsid w:val="004E424F"/>
    <w:rsid w:val="004E4519"/>
    <w:rsid w:val="004E63BE"/>
    <w:rsid w:val="004F26C8"/>
    <w:rsid w:val="004F3CDC"/>
    <w:rsid w:val="004F5A56"/>
    <w:rsid w:val="004F6060"/>
    <w:rsid w:val="004F6436"/>
    <w:rsid w:val="00502554"/>
    <w:rsid w:val="00504115"/>
    <w:rsid w:val="00505955"/>
    <w:rsid w:val="005064B2"/>
    <w:rsid w:val="00507480"/>
    <w:rsid w:val="00511D6D"/>
    <w:rsid w:val="00511E71"/>
    <w:rsid w:val="00513102"/>
    <w:rsid w:val="00514F70"/>
    <w:rsid w:val="005158A3"/>
    <w:rsid w:val="0052154B"/>
    <w:rsid w:val="00522FF2"/>
    <w:rsid w:val="00523B19"/>
    <w:rsid w:val="00523DD2"/>
    <w:rsid w:val="005351DE"/>
    <w:rsid w:val="00541E6B"/>
    <w:rsid w:val="00542158"/>
    <w:rsid w:val="00542BF6"/>
    <w:rsid w:val="005430D3"/>
    <w:rsid w:val="0054542F"/>
    <w:rsid w:val="00552954"/>
    <w:rsid w:val="00553558"/>
    <w:rsid w:val="00554D01"/>
    <w:rsid w:val="005579C8"/>
    <w:rsid w:val="00557E69"/>
    <w:rsid w:val="00560683"/>
    <w:rsid w:val="005616EB"/>
    <w:rsid w:val="00561D14"/>
    <w:rsid w:val="00563B9E"/>
    <w:rsid w:val="0056403A"/>
    <w:rsid w:val="00565FA5"/>
    <w:rsid w:val="00566592"/>
    <w:rsid w:val="00566E2A"/>
    <w:rsid w:val="00567978"/>
    <w:rsid w:val="00570266"/>
    <w:rsid w:val="00570FB5"/>
    <w:rsid w:val="005722D6"/>
    <w:rsid w:val="00575E01"/>
    <w:rsid w:val="00576384"/>
    <w:rsid w:val="00577AC1"/>
    <w:rsid w:val="005809D2"/>
    <w:rsid w:val="0058305A"/>
    <w:rsid w:val="00584C3B"/>
    <w:rsid w:val="005855CC"/>
    <w:rsid w:val="00585F3F"/>
    <w:rsid w:val="00586926"/>
    <w:rsid w:val="005872B5"/>
    <w:rsid w:val="005902D9"/>
    <w:rsid w:val="00590824"/>
    <w:rsid w:val="00591899"/>
    <w:rsid w:val="005919FD"/>
    <w:rsid w:val="005928D1"/>
    <w:rsid w:val="00594161"/>
    <w:rsid w:val="0059524C"/>
    <w:rsid w:val="005A0CAE"/>
    <w:rsid w:val="005A2522"/>
    <w:rsid w:val="005A6757"/>
    <w:rsid w:val="005B4198"/>
    <w:rsid w:val="005C548F"/>
    <w:rsid w:val="005C6B42"/>
    <w:rsid w:val="005C7A93"/>
    <w:rsid w:val="005D445E"/>
    <w:rsid w:val="005D5C2D"/>
    <w:rsid w:val="005D5CDF"/>
    <w:rsid w:val="005D6EC4"/>
    <w:rsid w:val="005E0AC7"/>
    <w:rsid w:val="005E3545"/>
    <w:rsid w:val="005E5213"/>
    <w:rsid w:val="005E5AF4"/>
    <w:rsid w:val="005F0AED"/>
    <w:rsid w:val="005F3213"/>
    <w:rsid w:val="005F3C1C"/>
    <w:rsid w:val="005F433B"/>
    <w:rsid w:val="005F4C32"/>
    <w:rsid w:val="00600426"/>
    <w:rsid w:val="006004DE"/>
    <w:rsid w:val="00602A61"/>
    <w:rsid w:val="00604B0E"/>
    <w:rsid w:val="0060592A"/>
    <w:rsid w:val="006061A0"/>
    <w:rsid w:val="0060637E"/>
    <w:rsid w:val="006067DF"/>
    <w:rsid w:val="006118A4"/>
    <w:rsid w:val="00613F9C"/>
    <w:rsid w:val="006140A5"/>
    <w:rsid w:val="0061544B"/>
    <w:rsid w:val="00616781"/>
    <w:rsid w:val="00617211"/>
    <w:rsid w:val="00623D21"/>
    <w:rsid w:val="006244B3"/>
    <w:rsid w:val="0062672F"/>
    <w:rsid w:val="0062779F"/>
    <w:rsid w:val="00632E83"/>
    <w:rsid w:val="00634B0B"/>
    <w:rsid w:val="00637C32"/>
    <w:rsid w:val="0064135D"/>
    <w:rsid w:val="006433C2"/>
    <w:rsid w:val="0064405F"/>
    <w:rsid w:val="0064591A"/>
    <w:rsid w:val="00646693"/>
    <w:rsid w:val="00647059"/>
    <w:rsid w:val="00650215"/>
    <w:rsid w:val="006520AF"/>
    <w:rsid w:val="00653A0F"/>
    <w:rsid w:val="00661D70"/>
    <w:rsid w:val="006626A7"/>
    <w:rsid w:val="00664E70"/>
    <w:rsid w:val="00665199"/>
    <w:rsid w:val="00666774"/>
    <w:rsid w:val="006701EE"/>
    <w:rsid w:val="00671842"/>
    <w:rsid w:val="006728F2"/>
    <w:rsid w:val="006739BA"/>
    <w:rsid w:val="00673CD2"/>
    <w:rsid w:val="00675490"/>
    <w:rsid w:val="0067611A"/>
    <w:rsid w:val="006771AE"/>
    <w:rsid w:val="006812EC"/>
    <w:rsid w:val="00684E55"/>
    <w:rsid w:val="006850B9"/>
    <w:rsid w:val="00690B57"/>
    <w:rsid w:val="00693F0E"/>
    <w:rsid w:val="006942F0"/>
    <w:rsid w:val="00694ED4"/>
    <w:rsid w:val="00695718"/>
    <w:rsid w:val="00696E1B"/>
    <w:rsid w:val="006A02A9"/>
    <w:rsid w:val="006A10A1"/>
    <w:rsid w:val="006A14B2"/>
    <w:rsid w:val="006A361A"/>
    <w:rsid w:val="006A3D53"/>
    <w:rsid w:val="006A6FB8"/>
    <w:rsid w:val="006A738A"/>
    <w:rsid w:val="006B10EF"/>
    <w:rsid w:val="006B243C"/>
    <w:rsid w:val="006B3D34"/>
    <w:rsid w:val="006B567A"/>
    <w:rsid w:val="006B59C3"/>
    <w:rsid w:val="006C28CF"/>
    <w:rsid w:val="006C3878"/>
    <w:rsid w:val="006C49EB"/>
    <w:rsid w:val="006C75FA"/>
    <w:rsid w:val="006D5131"/>
    <w:rsid w:val="006D6DA5"/>
    <w:rsid w:val="006D713A"/>
    <w:rsid w:val="006D7318"/>
    <w:rsid w:val="006E2589"/>
    <w:rsid w:val="006E3A2C"/>
    <w:rsid w:val="006E52DF"/>
    <w:rsid w:val="006E5708"/>
    <w:rsid w:val="006E68E9"/>
    <w:rsid w:val="006E7946"/>
    <w:rsid w:val="006E7E1B"/>
    <w:rsid w:val="006F10C0"/>
    <w:rsid w:val="006F7007"/>
    <w:rsid w:val="006F75F7"/>
    <w:rsid w:val="00702314"/>
    <w:rsid w:val="007023AC"/>
    <w:rsid w:val="00703568"/>
    <w:rsid w:val="00703752"/>
    <w:rsid w:val="00703BDA"/>
    <w:rsid w:val="00704C03"/>
    <w:rsid w:val="00705A75"/>
    <w:rsid w:val="00707345"/>
    <w:rsid w:val="00710E66"/>
    <w:rsid w:val="00712C9F"/>
    <w:rsid w:val="00716DD7"/>
    <w:rsid w:val="007202D8"/>
    <w:rsid w:val="007208A1"/>
    <w:rsid w:val="00722642"/>
    <w:rsid w:val="00722E46"/>
    <w:rsid w:val="00722F4F"/>
    <w:rsid w:val="00723595"/>
    <w:rsid w:val="00724280"/>
    <w:rsid w:val="0072451A"/>
    <w:rsid w:val="007248E0"/>
    <w:rsid w:val="007250C1"/>
    <w:rsid w:val="00730379"/>
    <w:rsid w:val="007303D9"/>
    <w:rsid w:val="00730BF3"/>
    <w:rsid w:val="00731581"/>
    <w:rsid w:val="007329CB"/>
    <w:rsid w:val="00733D5A"/>
    <w:rsid w:val="00733F97"/>
    <w:rsid w:val="00735A8B"/>
    <w:rsid w:val="00736F39"/>
    <w:rsid w:val="007370F6"/>
    <w:rsid w:val="00741171"/>
    <w:rsid w:val="00741B61"/>
    <w:rsid w:val="00741DF5"/>
    <w:rsid w:val="00742578"/>
    <w:rsid w:val="007427A8"/>
    <w:rsid w:val="00742CE0"/>
    <w:rsid w:val="007437EA"/>
    <w:rsid w:val="00745825"/>
    <w:rsid w:val="0074694A"/>
    <w:rsid w:val="00746CD3"/>
    <w:rsid w:val="0074742E"/>
    <w:rsid w:val="00747ACC"/>
    <w:rsid w:val="0075047E"/>
    <w:rsid w:val="00752A99"/>
    <w:rsid w:val="00753147"/>
    <w:rsid w:val="00753E8D"/>
    <w:rsid w:val="00756129"/>
    <w:rsid w:val="00756E21"/>
    <w:rsid w:val="007600A8"/>
    <w:rsid w:val="00760115"/>
    <w:rsid w:val="00760E8D"/>
    <w:rsid w:val="00761556"/>
    <w:rsid w:val="00764DEB"/>
    <w:rsid w:val="00765973"/>
    <w:rsid w:val="0076683E"/>
    <w:rsid w:val="00767ACE"/>
    <w:rsid w:val="00767B6A"/>
    <w:rsid w:val="00767E28"/>
    <w:rsid w:val="007707A7"/>
    <w:rsid w:val="00772FEE"/>
    <w:rsid w:val="007737E3"/>
    <w:rsid w:val="00775725"/>
    <w:rsid w:val="0077691C"/>
    <w:rsid w:val="00776C41"/>
    <w:rsid w:val="00781248"/>
    <w:rsid w:val="00782219"/>
    <w:rsid w:val="00782E4C"/>
    <w:rsid w:val="0078359E"/>
    <w:rsid w:val="00783EF8"/>
    <w:rsid w:val="00790F58"/>
    <w:rsid w:val="007917C7"/>
    <w:rsid w:val="00791F3C"/>
    <w:rsid w:val="007963D8"/>
    <w:rsid w:val="00796603"/>
    <w:rsid w:val="00796F3B"/>
    <w:rsid w:val="00797A2F"/>
    <w:rsid w:val="007A05CE"/>
    <w:rsid w:val="007A0D9C"/>
    <w:rsid w:val="007A154E"/>
    <w:rsid w:val="007A56F2"/>
    <w:rsid w:val="007B3EDB"/>
    <w:rsid w:val="007B46E0"/>
    <w:rsid w:val="007B4B0F"/>
    <w:rsid w:val="007B52A9"/>
    <w:rsid w:val="007B6235"/>
    <w:rsid w:val="007C0339"/>
    <w:rsid w:val="007C0545"/>
    <w:rsid w:val="007C2B6F"/>
    <w:rsid w:val="007C3AD2"/>
    <w:rsid w:val="007C3B11"/>
    <w:rsid w:val="007C6EFD"/>
    <w:rsid w:val="007C7337"/>
    <w:rsid w:val="007C7B0A"/>
    <w:rsid w:val="007D2017"/>
    <w:rsid w:val="007D2797"/>
    <w:rsid w:val="007D2F5A"/>
    <w:rsid w:val="007D40B4"/>
    <w:rsid w:val="007D46AF"/>
    <w:rsid w:val="007D69AE"/>
    <w:rsid w:val="007D6C8B"/>
    <w:rsid w:val="007D6FD1"/>
    <w:rsid w:val="007E0B8E"/>
    <w:rsid w:val="007E23A2"/>
    <w:rsid w:val="007E2E34"/>
    <w:rsid w:val="007E40AE"/>
    <w:rsid w:val="007E48A3"/>
    <w:rsid w:val="007E698D"/>
    <w:rsid w:val="007F074F"/>
    <w:rsid w:val="007F088B"/>
    <w:rsid w:val="007F0E3B"/>
    <w:rsid w:val="007F1645"/>
    <w:rsid w:val="007F3736"/>
    <w:rsid w:val="007F43F3"/>
    <w:rsid w:val="007F5172"/>
    <w:rsid w:val="007F5E17"/>
    <w:rsid w:val="007F6732"/>
    <w:rsid w:val="007F7D36"/>
    <w:rsid w:val="0080247C"/>
    <w:rsid w:val="00802CE3"/>
    <w:rsid w:val="008043D6"/>
    <w:rsid w:val="008045B5"/>
    <w:rsid w:val="00807FC7"/>
    <w:rsid w:val="0081066C"/>
    <w:rsid w:val="00817455"/>
    <w:rsid w:val="00820670"/>
    <w:rsid w:val="00823735"/>
    <w:rsid w:val="00823E58"/>
    <w:rsid w:val="00824737"/>
    <w:rsid w:val="008252C1"/>
    <w:rsid w:val="00825894"/>
    <w:rsid w:val="00832D36"/>
    <w:rsid w:val="0083573A"/>
    <w:rsid w:val="00836DD8"/>
    <w:rsid w:val="00837350"/>
    <w:rsid w:val="00840373"/>
    <w:rsid w:val="00840F21"/>
    <w:rsid w:val="00841B1F"/>
    <w:rsid w:val="00850908"/>
    <w:rsid w:val="0085132D"/>
    <w:rsid w:val="0085296B"/>
    <w:rsid w:val="00852BCE"/>
    <w:rsid w:val="00854F32"/>
    <w:rsid w:val="008567A4"/>
    <w:rsid w:val="00860186"/>
    <w:rsid w:val="00863700"/>
    <w:rsid w:val="0086427A"/>
    <w:rsid w:val="00866180"/>
    <w:rsid w:val="008662A3"/>
    <w:rsid w:val="008679DB"/>
    <w:rsid w:val="008702A2"/>
    <w:rsid w:val="00870649"/>
    <w:rsid w:val="008708F3"/>
    <w:rsid w:val="008730D8"/>
    <w:rsid w:val="008746D3"/>
    <w:rsid w:val="00875DD6"/>
    <w:rsid w:val="0087782F"/>
    <w:rsid w:val="0088061B"/>
    <w:rsid w:val="00881703"/>
    <w:rsid w:val="00884349"/>
    <w:rsid w:val="00884977"/>
    <w:rsid w:val="00886B0F"/>
    <w:rsid w:val="008877DF"/>
    <w:rsid w:val="00892431"/>
    <w:rsid w:val="0089796A"/>
    <w:rsid w:val="008A0A33"/>
    <w:rsid w:val="008A13AB"/>
    <w:rsid w:val="008A6895"/>
    <w:rsid w:val="008A6BFC"/>
    <w:rsid w:val="008A6C8A"/>
    <w:rsid w:val="008B057E"/>
    <w:rsid w:val="008B114C"/>
    <w:rsid w:val="008B3669"/>
    <w:rsid w:val="008B53B4"/>
    <w:rsid w:val="008B6EAA"/>
    <w:rsid w:val="008C3B29"/>
    <w:rsid w:val="008C55C2"/>
    <w:rsid w:val="008C58C7"/>
    <w:rsid w:val="008D18F3"/>
    <w:rsid w:val="008D1BDD"/>
    <w:rsid w:val="008D31D3"/>
    <w:rsid w:val="008D697E"/>
    <w:rsid w:val="008D77BC"/>
    <w:rsid w:val="008E041F"/>
    <w:rsid w:val="008E298A"/>
    <w:rsid w:val="008E39CF"/>
    <w:rsid w:val="008E4094"/>
    <w:rsid w:val="008E4ACA"/>
    <w:rsid w:val="008E580E"/>
    <w:rsid w:val="008E64AE"/>
    <w:rsid w:val="008E6748"/>
    <w:rsid w:val="008E7836"/>
    <w:rsid w:val="008F1398"/>
    <w:rsid w:val="008F5D02"/>
    <w:rsid w:val="008F6898"/>
    <w:rsid w:val="00902184"/>
    <w:rsid w:val="00906FE1"/>
    <w:rsid w:val="009071BD"/>
    <w:rsid w:val="00913F11"/>
    <w:rsid w:val="00915CD1"/>
    <w:rsid w:val="00915CE2"/>
    <w:rsid w:val="0091642A"/>
    <w:rsid w:val="00917611"/>
    <w:rsid w:val="00917C44"/>
    <w:rsid w:val="0092390D"/>
    <w:rsid w:val="0092398F"/>
    <w:rsid w:val="0092454D"/>
    <w:rsid w:val="0093001F"/>
    <w:rsid w:val="00934C54"/>
    <w:rsid w:val="00935AB2"/>
    <w:rsid w:val="009373A4"/>
    <w:rsid w:val="00940537"/>
    <w:rsid w:val="00940807"/>
    <w:rsid w:val="00941264"/>
    <w:rsid w:val="00942212"/>
    <w:rsid w:val="00942646"/>
    <w:rsid w:val="00943776"/>
    <w:rsid w:val="009455A4"/>
    <w:rsid w:val="00947A58"/>
    <w:rsid w:val="00947F27"/>
    <w:rsid w:val="00951BE3"/>
    <w:rsid w:val="00951CF2"/>
    <w:rsid w:val="00952253"/>
    <w:rsid w:val="009552CF"/>
    <w:rsid w:val="00956294"/>
    <w:rsid w:val="00956F1E"/>
    <w:rsid w:val="0096043C"/>
    <w:rsid w:val="0096241E"/>
    <w:rsid w:val="00962730"/>
    <w:rsid w:val="00962F77"/>
    <w:rsid w:val="0096422E"/>
    <w:rsid w:val="0096492B"/>
    <w:rsid w:val="00965602"/>
    <w:rsid w:val="00966B47"/>
    <w:rsid w:val="00975D30"/>
    <w:rsid w:val="0098017F"/>
    <w:rsid w:val="00982675"/>
    <w:rsid w:val="00983E80"/>
    <w:rsid w:val="00984356"/>
    <w:rsid w:val="00987F5B"/>
    <w:rsid w:val="00991CF4"/>
    <w:rsid w:val="00992A04"/>
    <w:rsid w:val="00995362"/>
    <w:rsid w:val="00996B7B"/>
    <w:rsid w:val="00997D17"/>
    <w:rsid w:val="009A61AF"/>
    <w:rsid w:val="009B3D2E"/>
    <w:rsid w:val="009B58EA"/>
    <w:rsid w:val="009B627E"/>
    <w:rsid w:val="009C01BD"/>
    <w:rsid w:val="009C1504"/>
    <w:rsid w:val="009C1A48"/>
    <w:rsid w:val="009C1B72"/>
    <w:rsid w:val="009C6135"/>
    <w:rsid w:val="009C6785"/>
    <w:rsid w:val="009D1D90"/>
    <w:rsid w:val="009D3930"/>
    <w:rsid w:val="009D5C81"/>
    <w:rsid w:val="009D7142"/>
    <w:rsid w:val="009E1C33"/>
    <w:rsid w:val="009E5BCA"/>
    <w:rsid w:val="009E6BEE"/>
    <w:rsid w:val="009F09F3"/>
    <w:rsid w:val="009F5981"/>
    <w:rsid w:val="009F62F5"/>
    <w:rsid w:val="00A0066B"/>
    <w:rsid w:val="00A00EE9"/>
    <w:rsid w:val="00A0779B"/>
    <w:rsid w:val="00A07A74"/>
    <w:rsid w:val="00A11760"/>
    <w:rsid w:val="00A11C11"/>
    <w:rsid w:val="00A12219"/>
    <w:rsid w:val="00A12A43"/>
    <w:rsid w:val="00A12FD7"/>
    <w:rsid w:val="00A151F8"/>
    <w:rsid w:val="00A17C94"/>
    <w:rsid w:val="00A2240A"/>
    <w:rsid w:val="00A22A5E"/>
    <w:rsid w:val="00A22F02"/>
    <w:rsid w:val="00A2453F"/>
    <w:rsid w:val="00A31A92"/>
    <w:rsid w:val="00A32026"/>
    <w:rsid w:val="00A344E9"/>
    <w:rsid w:val="00A347B6"/>
    <w:rsid w:val="00A34860"/>
    <w:rsid w:val="00A42183"/>
    <w:rsid w:val="00A50CD7"/>
    <w:rsid w:val="00A541CB"/>
    <w:rsid w:val="00A5701C"/>
    <w:rsid w:val="00A57617"/>
    <w:rsid w:val="00A60673"/>
    <w:rsid w:val="00A61759"/>
    <w:rsid w:val="00A6285B"/>
    <w:rsid w:val="00A63270"/>
    <w:rsid w:val="00A636D3"/>
    <w:rsid w:val="00A67B48"/>
    <w:rsid w:val="00A70425"/>
    <w:rsid w:val="00A71C68"/>
    <w:rsid w:val="00A71C8C"/>
    <w:rsid w:val="00A7345C"/>
    <w:rsid w:val="00A73A6E"/>
    <w:rsid w:val="00A763A1"/>
    <w:rsid w:val="00A764C1"/>
    <w:rsid w:val="00A824D2"/>
    <w:rsid w:val="00A8484C"/>
    <w:rsid w:val="00A84B6F"/>
    <w:rsid w:val="00A901E2"/>
    <w:rsid w:val="00A904DF"/>
    <w:rsid w:val="00A92124"/>
    <w:rsid w:val="00A948AE"/>
    <w:rsid w:val="00A94B97"/>
    <w:rsid w:val="00AA2814"/>
    <w:rsid w:val="00AA4062"/>
    <w:rsid w:val="00AA468D"/>
    <w:rsid w:val="00AA4BE5"/>
    <w:rsid w:val="00AA59ED"/>
    <w:rsid w:val="00AA67B3"/>
    <w:rsid w:val="00AB205B"/>
    <w:rsid w:val="00AB265F"/>
    <w:rsid w:val="00AB5641"/>
    <w:rsid w:val="00AB702D"/>
    <w:rsid w:val="00AB7822"/>
    <w:rsid w:val="00AC1091"/>
    <w:rsid w:val="00AC1FC1"/>
    <w:rsid w:val="00AC4826"/>
    <w:rsid w:val="00AC53BD"/>
    <w:rsid w:val="00AC6C1C"/>
    <w:rsid w:val="00AD002F"/>
    <w:rsid w:val="00AD0451"/>
    <w:rsid w:val="00AD1D6A"/>
    <w:rsid w:val="00AD213F"/>
    <w:rsid w:val="00AD3251"/>
    <w:rsid w:val="00AD362A"/>
    <w:rsid w:val="00AD3AA9"/>
    <w:rsid w:val="00AD50C1"/>
    <w:rsid w:val="00AD5DC3"/>
    <w:rsid w:val="00AE0786"/>
    <w:rsid w:val="00AE1EBD"/>
    <w:rsid w:val="00AE2AD6"/>
    <w:rsid w:val="00AE7725"/>
    <w:rsid w:val="00AE783D"/>
    <w:rsid w:val="00AE7C65"/>
    <w:rsid w:val="00AE7E55"/>
    <w:rsid w:val="00AF22EC"/>
    <w:rsid w:val="00AF2F3B"/>
    <w:rsid w:val="00AF32C6"/>
    <w:rsid w:val="00AF7509"/>
    <w:rsid w:val="00B027DC"/>
    <w:rsid w:val="00B03701"/>
    <w:rsid w:val="00B06F89"/>
    <w:rsid w:val="00B10AAC"/>
    <w:rsid w:val="00B11999"/>
    <w:rsid w:val="00B11AD0"/>
    <w:rsid w:val="00B1295E"/>
    <w:rsid w:val="00B13614"/>
    <w:rsid w:val="00B14309"/>
    <w:rsid w:val="00B15C9C"/>
    <w:rsid w:val="00B20029"/>
    <w:rsid w:val="00B2097A"/>
    <w:rsid w:val="00B20DDF"/>
    <w:rsid w:val="00B22C3A"/>
    <w:rsid w:val="00B264F9"/>
    <w:rsid w:val="00B27C83"/>
    <w:rsid w:val="00B30EDB"/>
    <w:rsid w:val="00B34479"/>
    <w:rsid w:val="00B35CF3"/>
    <w:rsid w:val="00B36BB2"/>
    <w:rsid w:val="00B37B10"/>
    <w:rsid w:val="00B40782"/>
    <w:rsid w:val="00B40C8F"/>
    <w:rsid w:val="00B41154"/>
    <w:rsid w:val="00B41E06"/>
    <w:rsid w:val="00B4379B"/>
    <w:rsid w:val="00B45594"/>
    <w:rsid w:val="00B45ADE"/>
    <w:rsid w:val="00B46902"/>
    <w:rsid w:val="00B51435"/>
    <w:rsid w:val="00B5285A"/>
    <w:rsid w:val="00B53322"/>
    <w:rsid w:val="00B54381"/>
    <w:rsid w:val="00B557EE"/>
    <w:rsid w:val="00B5695D"/>
    <w:rsid w:val="00B62AF7"/>
    <w:rsid w:val="00B62C32"/>
    <w:rsid w:val="00B64F1C"/>
    <w:rsid w:val="00B674DF"/>
    <w:rsid w:val="00B67D5C"/>
    <w:rsid w:val="00B711E2"/>
    <w:rsid w:val="00B732EB"/>
    <w:rsid w:val="00B757CA"/>
    <w:rsid w:val="00B762F1"/>
    <w:rsid w:val="00B76A5E"/>
    <w:rsid w:val="00B81716"/>
    <w:rsid w:val="00B81B1C"/>
    <w:rsid w:val="00B843DA"/>
    <w:rsid w:val="00B849A8"/>
    <w:rsid w:val="00B85D26"/>
    <w:rsid w:val="00B86643"/>
    <w:rsid w:val="00B96381"/>
    <w:rsid w:val="00B97FDF"/>
    <w:rsid w:val="00BA1E61"/>
    <w:rsid w:val="00BA2098"/>
    <w:rsid w:val="00BB19E9"/>
    <w:rsid w:val="00BB2D69"/>
    <w:rsid w:val="00BB430B"/>
    <w:rsid w:val="00BB78E5"/>
    <w:rsid w:val="00BC06DB"/>
    <w:rsid w:val="00BC0CC4"/>
    <w:rsid w:val="00BC329E"/>
    <w:rsid w:val="00BC37E3"/>
    <w:rsid w:val="00BC62DF"/>
    <w:rsid w:val="00BC6C83"/>
    <w:rsid w:val="00BC7832"/>
    <w:rsid w:val="00BD0F7F"/>
    <w:rsid w:val="00BD18FF"/>
    <w:rsid w:val="00BD1A01"/>
    <w:rsid w:val="00BD1D99"/>
    <w:rsid w:val="00BD3CCC"/>
    <w:rsid w:val="00BD3E55"/>
    <w:rsid w:val="00BE013F"/>
    <w:rsid w:val="00BE28AC"/>
    <w:rsid w:val="00BE4E0B"/>
    <w:rsid w:val="00BE60C8"/>
    <w:rsid w:val="00BE67E9"/>
    <w:rsid w:val="00BE6C79"/>
    <w:rsid w:val="00BF17DE"/>
    <w:rsid w:val="00BF2154"/>
    <w:rsid w:val="00BF5ADA"/>
    <w:rsid w:val="00BF636E"/>
    <w:rsid w:val="00BF63A7"/>
    <w:rsid w:val="00BF756D"/>
    <w:rsid w:val="00BF7F51"/>
    <w:rsid w:val="00C016F8"/>
    <w:rsid w:val="00C03301"/>
    <w:rsid w:val="00C05B1E"/>
    <w:rsid w:val="00C06B7F"/>
    <w:rsid w:val="00C06D2F"/>
    <w:rsid w:val="00C10A89"/>
    <w:rsid w:val="00C13248"/>
    <w:rsid w:val="00C17185"/>
    <w:rsid w:val="00C222C9"/>
    <w:rsid w:val="00C240CA"/>
    <w:rsid w:val="00C27878"/>
    <w:rsid w:val="00C315B3"/>
    <w:rsid w:val="00C33162"/>
    <w:rsid w:val="00C331FB"/>
    <w:rsid w:val="00C33F9D"/>
    <w:rsid w:val="00C41CD1"/>
    <w:rsid w:val="00C42623"/>
    <w:rsid w:val="00C43AF2"/>
    <w:rsid w:val="00C472B7"/>
    <w:rsid w:val="00C4793C"/>
    <w:rsid w:val="00C553BF"/>
    <w:rsid w:val="00C56137"/>
    <w:rsid w:val="00C5673D"/>
    <w:rsid w:val="00C57693"/>
    <w:rsid w:val="00C57BB9"/>
    <w:rsid w:val="00C628A5"/>
    <w:rsid w:val="00C6445D"/>
    <w:rsid w:val="00C65678"/>
    <w:rsid w:val="00C7057D"/>
    <w:rsid w:val="00C715EE"/>
    <w:rsid w:val="00C72FE0"/>
    <w:rsid w:val="00C74930"/>
    <w:rsid w:val="00C758C8"/>
    <w:rsid w:val="00C764AC"/>
    <w:rsid w:val="00C76941"/>
    <w:rsid w:val="00C775FE"/>
    <w:rsid w:val="00C80A5D"/>
    <w:rsid w:val="00C80EB6"/>
    <w:rsid w:val="00C81715"/>
    <w:rsid w:val="00C81BBF"/>
    <w:rsid w:val="00C81ECE"/>
    <w:rsid w:val="00C82665"/>
    <w:rsid w:val="00C86BEE"/>
    <w:rsid w:val="00C87EAD"/>
    <w:rsid w:val="00C90183"/>
    <w:rsid w:val="00C92335"/>
    <w:rsid w:val="00C92782"/>
    <w:rsid w:val="00C92AF1"/>
    <w:rsid w:val="00C93DAD"/>
    <w:rsid w:val="00C96249"/>
    <w:rsid w:val="00C96603"/>
    <w:rsid w:val="00CA22FF"/>
    <w:rsid w:val="00CA2E58"/>
    <w:rsid w:val="00CA4264"/>
    <w:rsid w:val="00CA6532"/>
    <w:rsid w:val="00CA68DE"/>
    <w:rsid w:val="00CA6B84"/>
    <w:rsid w:val="00CB3207"/>
    <w:rsid w:val="00CB3C7D"/>
    <w:rsid w:val="00CB4046"/>
    <w:rsid w:val="00CB4DD2"/>
    <w:rsid w:val="00CB71C9"/>
    <w:rsid w:val="00CB7C2C"/>
    <w:rsid w:val="00CB7F5F"/>
    <w:rsid w:val="00CC23F8"/>
    <w:rsid w:val="00CC24A8"/>
    <w:rsid w:val="00CC3F56"/>
    <w:rsid w:val="00CC4AD7"/>
    <w:rsid w:val="00CC5E89"/>
    <w:rsid w:val="00CC621D"/>
    <w:rsid w:val="00CC6333"/>
    <w:rsid w:val="00CC6EF5"/>
    <w:rsid w:val="00CC794B"/>
    <w:rsid w:val="00CD1A7C"/>
    <w:rsid w:val="00CD24B2"/>
    <w:rsid w:val="00CD3EA1"/>
    <w:rsid w:val="00CD4AC1"/>
    <w:rsid w:val="00CD5E56"/>
    <w:rsid w:val="00CD669D"/>
    <w:rsid w:val="00CE01C2"/>
    <w:rsid w:val="00CE3962"/>
    <w:rsid w:val="00CE3D22"/>
    <w:rsid w:val="00CE453C"/>
    <w:rsid w:val="00CE54F1"/>
    <w:rsid w:val="00CF0177"/>
    <w:rsid w:val="00CF1013"/>
    <w:rsid w:val="00CF6F8B"/>
    <w:rsid w:val="00CF733A"/>
    <w:rsid w:val="00D02906"/>
    <w:rsid w:val="00D02969"/>
    <w:rsid w:val="00D03524"/>
    <w:rsid w:val="00D03650"/>
    <w:rsid w:val="00D071DC"/>
    <w:rsid w:val="00D07938"/>
    <w:rsid w:val="00D10BCB"/>
    <w:rsid w:val="00D120AC"/>
    <w:rsid w:val="00D12668"/>
    <w:rsid w:val="00D16B31"/>
    <w:rsid w:val="00D20FE7"/>
    <w:rsid w:val="00D235A0"/>
    <w:rsid w:val="00D27D3F"/>
    <w:rsid w:val="00D30686"/>
    <w:rsid w:val="00D30D9C"/>
    <w:rsid w:val="00D3262B"/>
    <w:rsid w:val="00D41F09"/>
    <w:rsid w:val="00D42154"/>
    <w:rsid w:val="00D43861"/>
    <w:rsid w:val="00D455AE"/>
    <w:rsid w:val="00D4765D"/>
    <w:rsid w:val="00D500FD"/>
    <w:rsid w:val="00D50245"/>
    <w:rsid w:val="00D534C6"/>
    <w:rsid w:val="00D53CC6"/>
    <w:rsid w:val="00D5592A"/>
    <w:rsid w:val="00D5625F"/>
    <w:rsid w:val="00D562EC"/>
    <w:rsid w:val="00D5638E"/>
    <w:rsid w:val="00D564A9"/>
    <w:rsid w:val="00D60B63"/>
    <w:rsid w:val="00D61C6F"/>
    <w:rsid w:val="00D64964"/>
    <w:rsid w:val="00D65C86"/>
    <w:rsid w:val="00D66CF6"/>
    <w:rsid w:val="00D66E63"/>
    <w:rsid w:val="00D67940"/>
    <w:rsid w:val="00D705A5"/>
    <w:rsid w:val="00D76197"/>
    <w:rsid w:val="00D826C3"/>
    <w:rsid w:val="00D82763"/>
    <w:rsid w:val="00D8452F"/>
    <w:rsid w:val="00D8486A"/>
    <w:rsid w:val="00D861CF"/>
    <w:rsid w:val="00D8688B"/>
    <w:rsid w:val="00D86DC2"/>
    <w:rsid w:val="00D91750"/>
    <w:rsid w:val="00D923AB"/>
    <w:rsid w:val="00D97789"/>
    <w:rsid w:val="00D977E3"/>
    <w:rsid w:val="00DA20FC"/>
    <w:rsid w:val="00DA4D7F"/>
    <w:rsid w:val="00DA5D9A"/>
    <w:rsid w:val="00DA6BE5"/>
    <w:rsid w:val="00DB044C"/>
    <w:rsid w:val="00DB1B32"/>
    <w:rsid w:val="00DB1C35"/>
    <w:rsid w:val="00DB20AD"/>
    <w:rsid w:val="00DB32A6"/>
    <w:rsid w:val="00DB3DDF"/>
    <w:rsid w:val="00DB42F9"/>
    <w:rsid w:val="00DB4315"/>
    <w:rsid w:val="00DB4BBB"/>
    <w:rsid w:val="00DB513A"/>
    <w:rsid w:val="00DB7AC3"/>
    <w:rsid w:val="00DB7EBF"/>
    <w:rsid w:val="00DC2C8B"/>
    <w:rsid w:val="00DC2EE3"/>
    <w:rsid w:val="00DC3E30"/>
    <w:rsid w:val="00DC45BD"/>
    <w:rsid w:val="00DC5822"/>
    <w:rsid w:val="00DC5D0C"/>
    <w:rsid w:val="00DC6151"/>
    <w:rsid w:val="00DC682C"/>
    <w:rsid w:val="00DD17E7"/>
    <w:rsid w:val="00DD1FBC"/>
    <w:rsid w:val="00DD3163"/>
    <w:rsid w:val="00DD3404"/>
    <w:rsid w:val="00DD46A1"/>
    <w:rsid w:val="00DD4F65"/>
    <w:rsid w:val="00DD789B"/>
    <w:rsid w:val="00DE01E2"/>
    <w:rsid w:val="00DE02BA"/>
    <w:rsid w:val="00DE11C5"/>
    <w:rsid w:val="00DE1695"/>
    <w:rsid w:val="00DE2FE1"/>
    <w:rsid w:val="00DE62E6"/>
    <w:rsid w:val="00DE6F77"/>
    <w:rsid w:val="00DE73D8"/>
    <w:rsid w:val="00DE7BCE"/>
    <w:rsid w:val="00E0251D"/>
    <w:rsid w:val="00E02617"/>
    <w:rsid w:val="00E041EB"/>
    <w:rsid w:val="00E04CA0"/>
    <w:rsid w:val="00E05BCF"/>
    <w:rsid w:val="00E0607F"/>
    <w:rsid w:val="00E112EA"/>
    <w:rsid w:val="00E1238F"/>
    <w:rsid w:val="00E12A62"/>
    <w:rsid w:val="00E134F3"/>
    <w:rsid w:val="00E14F77"/>
    <w:rsid w:val="00E1612B"/>
    <w:rsid w:val="00E256AB"/>
    <w:rsid w:val="00E26024"/>
    <w:rsid w:val="00E320A9"/>
    <w:rsid w:val="00E34C2E"/>
    <w:rsid w:val="00E37277"/>
    <w:rsid w:val="00E43821"/>
    <w:rsid w:val="00E44572"/>
    <w:rsid w:val="00E45422"/>
    <w:rsid w:val="00E4546A"/>
    <w:rsid w:val="00E463E2"/>
    <w:rsid w:val="00E4671C"/>
    <w:rsid w:val="00E5088D"/>
    <w:rsid w:val="00E513D5"/>
    <w:rsid w:val="00E51FED"/>
    <w:rsid w:val="00E54080"/>
    <w:rsid w:val="00E54CD1"/>
    <w:rsid w:val="00E54D24"/>
    <w:rsid w:val="00E607BD"/>
    <w:rsid w:val="00E61EAA"/>
    <w:rsid w:val="00E62549"/>
    <w:rsid w:val="00E6482E"/>
    <w:rsid w:val="00E65795"/>
    <w:rsid w:val="00E65E50"/>
    <w:rsid w:val="00E6604F"/>
    <w:rsid w:val="00E73434"/>
    <w:rsid w:val="00E74073"/>
    <w:rsid w:val="00E740E6"/>
    <w:rsid w:val="00E75171"/>
    <w:rsid w:val="00E76B5B"/>
    <w:rsid w:val="00E77B48"/>
    <w:rsid w:val="00E813F3"/>
    <w:rsid w:val="00E81E84"/>
    <w:rsid w:val="00E84910"/>
    <w:rsid w:val="00E87A97"/>
    <w:rsid w:val="00E918B1"/>
    <w:rsid w:val="00E91EC7"/>
    <w:rsid w:val="00E95F42"/>
    <w:rsid w:val="00E95FE1"/>
    <w:rsid w:val="00E97D06"/>
    <w:rsid w:val="00EA07CF"/>
    <w:rsid w:val="00EA1EB9"/>
    <w:rsid w:val="00EA23A8"/>
    <w:rsid w:val="00EA3273"/>
    <w:rsid w:val="00EA346D"/>
    <w:rsid w:val="00EA4F19"/>
    <w:rsid w:val="00EA7F76"/>
    <w:rsid w:val="00EB1EE0"/>
    <w:rsid w:val="00EB4A7C"/>
    <w:rsid w:val="00EB6BD5"/>
    <w:rsid w:val="00EB72CC"/>
    <w:rsid w:val="00EC0058"/>
    <w:rsid w:val="00EC08D2"/>
    <w:rsid w:val="00EC7D23"/>
    <w:rsid w:val="00ED26FA"/>
    <w:rsid w:val="00ED7EC5"/>
    <w:rsid w:val="00EE27C0"/>
    <w:rsid w:val="00EE321E"/>
    <w:rsid w:val="00EE4876"/>
    <w:rsid w:val="00EE563D"/>
    <w:rsid w:val="00EE5A0E"/>
    <w:rsid w:val="00EE650A"/>
    <w:rsid w:val="00EE68E5"/>
    <w:rsid w:val="00EE6CD1"/>
    <w:rsid w:val="00EE7476"/>
    <w:rsid w:val="00EF4461"/>
    <w:rsid w:val="00EF6E8B"/>
    <w:rsid w:val="00EF718F"/>
    <w:rsid w:val="00F0146F"/>
    <w:rsid w:val="00F0308C"/>
    <w:rsid w:val="00F04515"/>
    <w:rsid w:val="00F04FE2"/>
    <w:rsid w:val="00F05B28"/>
    <w:rsid w:val="00F1139D"/>
    <w:rsid w:val="00F13107"/>
    <w:rsid w:val="00F14A61"/>
    <w:rsid w:val="00F21A15"/>
    <w:rsid w:val="00F21C49"/>
    <w:rsid w:val="00F22CCA"/>
    <w:rsid w:val="00F25A7D"/>
    <w:rsid w:val="00F33C34"/>
    <w:rsid w:val="00F368F2"/>
    <w:rsid w:val="00F42E5F"/>
    <w:rsid w:val="00F43A0C"/>
    <w:rsid w:val="00F476ED"/>
    <w:rsid w:val="00F47941"/>
    <w:rsid w:val="00F5216B"/>
    <w:rsid w:val="00F61C14"/>
    <w:rsid w:val="00F6483F"/>
    <w:rsid w:val="00F704A5"/>
    <w:rsid w:val="00F70C02"/>
    <w:rsid w:val="00F735CA"/>
    <w:rsid w:val="00F73AD2"/>
    <w:rsid w:val="00F74E38"/>
    <w:rsid w:val="00F758DC"/>
    <w:rsid w:val="00F77887"/>
    <w:rsid w:val="00F8108B"/>
    <w:rsid w:val="00F830F2"/>
    <w:rsid w:val="00F841CD"/>
    <w:rsid w:val="00F84268"/>
    <w:rsid w:val="00F85363"/>
    <w:rsid w:val="00F93EEC"/>
    <w:rsid w:val="00F943E6"/>
    <w:rsid w:val="00FA0CE8"/>
    <w:rsid w:val="00FA336A"/>
    <w:rsid w:val="00FA3C0B"/>
    <w:rsid w:val="00FA5D2B"/>
    <w:rsid w:val="00FA6A3D"/>
    <w:rsid w:val="00FA7A40"/>
    <w:rsid w:val="00FB38CD"/>
    <w:rsid w:val="00FB4E04"/>
    <w:rsid w:val="00FB7EF1"/>
    <w:rsid w:val="00FC214F"/>
    <w:rsid w:val="00FC30F3"/>
    <w:rsid w:val="00FC4189"/>
    <w:rsid w:val="00FD10E5"/>
    <w:rsid w:val="00FD2758"/>
    <w:rsid w:val="00FD3553"/>
    <w:rsid w:val="00FD5DF1"/>
    <w:rsid w:val="00FD6FFB"/>
    <w:rsid w:val="00FE33C7"/>
    <w:rsid w:val="00FE3F6E"/>
    <w:rsid w:val="00FF2AF5"/>
    <w:rsid w:val="00FF7865"/>
    <w:rsid w:val="00FF78C9"/>
    <w:rsid w:val="00FF7F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90A367"/>
  <w15:chartTrackingRefBased/>
  <w15:docId w15:val="{5DA980F6-C28E-4F4C-83AE-1B6F7C6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BE" w:eastAsia="fr-B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C1"/>
    <w:pPr>
      <w:jc w:val="both"/>
    </w:pPr>
    <w:rPr>
      <w:rFonts w:eastAsia="Calibri"/>
    </w:rPr>
  </w:style>
  <w:style w:type="paragraph" w:styleId="Heading1">
    <w:name w:val="heading 1"/>
    <w:basedOn w:val="Normal"/>
    <w:next w:val="Normal"/>
    <w:link w:val="Heading1Char"/>
    <w:uiPriority w:val="9"/>
    <w:qFormat/>
    <w:rsid w:val="002001FB"/>
    <w:pPr>
      <w:keepNext/>
      <w:keepLines/>
      <w:numPr>
        <w:numId w:val="30"/>
      </w:numPr>
      <w:pBdr>
        <w:bottom w:val="single" w:sz="4" w:space="1" w:color="549E39" w:themeColor="accent1"/>
      </w:pBdr>
      <w:spacing w:before="400" w:after="40" w:line="240" w:lineRule="auto"/>
      <w:outlineLvl w:val="0"/>
    </w:pPr>
    <w:rPr>
      <w:rFonts w:asciiTheme="majorHAnsi" w:eastAsia="Batang"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2001FB"/>
    <w:pPr>
      <w:keepNext/>
      <w:keepLines/>
      <w:numPr>
        <w:ilvl w:val="1"/>
        <w:numId w:val="30"/>
      </w:numPr>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unhideWhenUsed/>
    <w:qFormat/>
    <w:rsid w:val="002001FB"/>
    <w:pPr>
      <w:keepNext/>
      <w:keepLines/>
      <w:numPr>
        <w:ilvl w:val="2"/>
        <w:numId w:val="30"/>
      </w:numPr>
      <w:spacing w:before="80" w:after="0" w:line="240" w:lineRule="auto"/>
      <w:outlineLvl w:val="2"/>
    </w:pPr>
    <w:rPr>
      <w:rFonts w:asciiTheme="majorHAnsi" w:eastAsiaTheme="majorEastAsia" w:hAnsiTheme="majorHAnsi" w:cstheme="majorBidi"/>
      <w:color w:val="404040" w:themeColor="text1" w:themeTint="BF"/>
      <w:sz w:val="26"/>
      <w:szCs w:val="26"/>
      <w:lang w:val="fr-FR"/>
    </w:rPr>
  </w:style>
  <w:style w:type="paragraph" w:styleId="Heading4">
    <w:name w:val="heading 4"/>
    <w:basedOn w:val="Normal"/>
    <w:next w:val="Normal"/>
    <w:link w:val="Heading4Char"/>
    <w:uiPriority w:val="9"/>
    <w:semiHidden/>
    <w:unhideWhenUsed/>
    <w:qFormat/>
    <w:rsid w:val="002001F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001F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001F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001F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001F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001F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hAnsi="Tahoma"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eastAsia="Times New Roman" w:hAnsi="Symbol" w:cs="Symbol" w:hint="default"/>
      <w:sz w:val="24"/>
      <w:szCs w:val="24"/>
      <w:lang w:val="fr-FR" w:eastAsia="fr-F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Symbol" w:hint="default"/>
      <w:color w:val="4472C4"/>
      <w:sz w:val="24"/>
      <w:szCs w:val="24"/>
      <w:lang w:val="fr-FR" w:eastAsia="fr-FR"/>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rPr>
      <w:rFonts w:hint="default"/>
      <w:sz w:val="28"/>
    </w:rPr>
  </w:style>
  <w:style w:type="character" w:customStyle="1" w:styleId="WW8Num4z2">
    <w:name w:val="WW8Num4z2"/>
    <w:rPr>
      <w:rFonts w:hint="default"/>
      <w:sz w:val="22"/>
    </w:rPr>
  </w:style>
  <w:style w:type="character" w:customStyle="1" w:styleId="WW8Num5z0">
    <w:name w:val="WW8Num5z0"/>
    <w:rPr>
      <w:rFonts w:ascii="Symbol" w:eastAsia="Times New Roman" w:hAnsi="Symbol" w:cs="Symbol" w:hint="default"/>
      <w:color w:val="4472C4"/>
      <w:sz w:val="24"/>
      <w:szCs w:val="24"/>
      <w:lang w:val="fr-FR" w:eastAsia="fr-F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Calibri" w:hAnsi="Symbol" w:cs="Symbol" w:hint="default"/>
      <w:lang w:val="fr-FR" w:eastAsia="en-US"/>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eastAsia="Times New Roman" w:hAnsi="Symbol" w:cs="Symbol" w:hint="default"/>
      <w:sz w:val="24"/>
      <w:szCs w:val="24"/>
      <w:lang w:val="fr-FR" w:eastAsia="fr-F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eastAsia="Times New Roman" w:hAnsi="Symbol" w:cs="Symbol" w:hint="default"/>
      <w:sz w:val="24"/>
      <w:szCs w:val="24"/>
      <w:lang w:val="fr-FR" w:eastAsia="fr-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TextedebullesCar">
    <w:name w:val="Texte de bulles Car"/>
    <w:rPr>
      <w:rFonts w:ascii="Segoe UI" w:eastAsia="Calibri" w:hAnsi="Segoe UI" w:cs="Segoe UI"/>
      <w:sz w:val="18"/>
      <w:szCs w:val="18"/>
      <w:lang w:val="fr-BE"/>
    </w:rPr>
  </w:style>
  <w:style w:type="character" w:styleId="Hyperlink">
    <w:name w:val="Hyperlink"/>
    <w:uiPriority w:val="99"/>
    <w:rPr>
      <w:color w:val="0000FF"/>
      <w:u w:val="single"/>
    </w:rPr>
  </w:style>
  <w:style w:type="character" w:customStyle="1" w:styleId="En-tteCar">
    <w:name w:val="En-tête Car"/>
    <w:rPr>
      <w:rFonts w:ascii="Calibri" w:eastAsia="Calibri" w:hAnsi="Calibri" w:cs="Arial"/>
      <w:sz w:val="20"/>
      <w:szCs w:val="20"/>
      <w:lang w:val="fr-BE"/>
    </w:rPr>
  </w:style>
  <w:style w:type="character" w:customStyle="1" w:styleId="PieddepageCar">
    <w:name w:val="Pied de page Car"/>
    <w:uiPriority w:val="99"/>
    <w:rPr>
      <w:rFonts w:ascii="Calibri" w:eastAsia="Calibri" w:hAnsi="Calibri" w:cs="Arial"/>
      <w:sz w:val="20"/>
      <w:szCs w:val="20"/>
      <w:lang w:val="fr-BE"/>
    </w:rPr>
  </w:style>
  <w:style w:type="character" w:customStyle="1" w:styleId="Marquedecommentaire1">
    <w:name w:val="Marque de commentaire1"/>
    <w:rPr>
      <w:sz w:val="16"/>
      <w:szCs w:val="16"/>
    </w:rPr>
  </w:style>
  <w:style w:type="character" w:customStyle="1" w:styleId="CommentaireCar">
    <w:name w:val="Commentaire Car"/>
    <w:rPr>
      <w:rFonts w:eastAsia="Calibri" w:cs="Arial"/>
      <w:lang w:val="fr-BE"/>
    </w:rPr>
  </w:style>
  <w:style w:type="character" w:customStyle="1" w:styleId="ObjetducommentaireCar">
    <w:name w:val="Objet du commentaire Car"/>
    <w:rPr>
      <w:rFonts w:eastAsia="Calibri" w:cs="Arial"/>
      <w:b/>
      <w:bCs/>
      <w:lang w:val="fr-BE"/>
    </w:rPr>
  </w:style>
  <w:style w:type="character" w:customStyle="1" w:styleId="Heading1Char">
    <w:name w:val="Heading 1 Char"/>
    <w:basedOn w:val="DefaultParagraphFont"/>
    <w:link w:val="Heading1"/>
    <w:uiPriority w:val="9"/>
    <w:rsid w:val="002001FB"/>
    <w:rPr>
      <w:rFonts w:asciiTheme="majorHAnsi" w:eastAsia="Batang"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2001FB"/>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rsid w:val="002001FB"/>
    <w:rPr>
      <w:rFonts w:asciiTheme="majorHAnsi" w:eastAsiaTheme="majorEastAsia" w:hAnsiTheme="majorHAnsi" w:cstheme="majorBidi"/>
      <w:color w:val="404040" w:themeColor="text1" w:themeTint="BF"/>
      <w:sz w:val="26"/>
      <w:szCs w:val="26"/>
      <w:lang w:val="fr-FR"/>
    </w:rPr>
  </w:style>
  <w:style w:type="character" w:customStyle="1" w:styleId="ParagraphedelisteCar">
    <w:name w:val="Paragraphe de liste Car"/>
    <w:aliases w:val="Liste couleur - Accent 1 Car,Lettre d'introduction Car,List numbered Car,inspringtekst Car,List Paragraph Car,Par. de liste Car,References Car"/>
    <w:rPr>
      <w:rFonts w:ascii="Times New Roman" w:eastAsia="Times New Roman" w:hAnsi="Times New Roman" w:cs="Times New Roman"/>
      <w:sz w:val="24"/>
      <w:szCs w:val="24"/>
    </w:rPr>
  </w:style>
  <w:style w:type="character" w:customStyle="1" w:styleId="NotedebasdepageCar">
    <w:name w:val="Note de bas de page Car"/>
    <w:aliases w:val="Char Car,Char Char Char Char Car,Char Char Char Char Char Char Car,Char Char Char Char Char Car,Char Char Char Car,Char Char Char Char Char Char Char Char Char Car,Char Char Char Char Char Char Char Char Car, Char Car,fn Car"/>
    <w:uiPriority w:val="99"/>
    <w:qFormat/>
    <w:rPr>
      <w:rFonts w:ascii="Times New Roman" w:eastAsia="Times New Roman" w:hAnsi="Times New Roman" w:cs="Times New Roman"/>
      <w:spacing w:val="-2"/>
      <w:sz w:val="18"/>
      <w:lang w:val="fr-FR"/>
    </w:rPr>
  </w:style>
  <w:style w:type="character" w:customStyle="1" w:styleId="Policepardfaut2">
    <w:name w:val="Police par défaut2"/>
  </w:style>
  <w:style w:type="paragraph" w:customStyle="1" w:styleId="Titre1">
    <w:name w:val="Titre1"/>
    <w:basedOn w:val="Normal"/>
    <w:next w:val="BodyText"/>
    <w:pPr>
      <w:keepNext/>
      <w:spacing w:before="24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2001FB"/>
    <w:pPr>
      <w:spacing w:line="240" w:lineRule="auto"/>
    </w:pPr>
    <w:rPr>
      <w:b/>
      <w:bCs/>
      <w:color w:val="404040" w:themeColor="text1" w:themeTint="BF"/>
      <w:sz w:val="20"/>
      <w:szCs w:val="20"/>
    </w:rPr>
  </w:style>
  <w:style w:type="paragraph" w:customStyle="1" w:styleId="Index">
    <w:name w:val="Index"/>
    <w:basedOn w:val="Normal"/>
    <w:pPr>
      <w:suppressLineNumbers/>
    </w:pPr>
    <w:rPr>
      <w:rFonts w:cs="Lucida Sans"/>
    </w:rPr>
  </w:style>
  <w:style w:type="paragraph" w:customStyle="1" w:styleId="Listecouleur-Accent11">
    <w:name w:val="Liste couleur - Accent 11"/>
    <w:aliases w:val="List Paragraph,Lettre d'introduction,List numbered,inspringtekst"/>
    <w:basedOn w:val="Normal"/>
    <w:uiPriority w:val="99"/>
    <w:pPr>
      <w:ind w:left="720"/>
      <w:contextualSpacing/>
    </w:pPr>
  </w:style>
  <w:style w:type="paragraph" w:styleId="BalloonText">
    <w:name w:val="Balloon Text"/>
    <w:basedOn w:val="Normal"/>
    <w:rPr>
      <w:rFonts w:ascii="Segoe UI" w:hAnsi="Segoe UI" w:cs="Times New Roman"/>
      <w:sz w:val="18"/>
      <w:szCs w:val="18"/>
    </w:rPr>
  </w:style>
  <w:style w:type="paragraph" w:styleId="Header">
    <w:name w:val="header"/>
    <w:basedOn w:val="Normal"/>
    <w:rPr>
      <w:rFonts w:cs="Times New Roman"/>
    </w:rPr>
  </w:style>
  <w:style w:type="paragraph" w:styleId="Footer">
    <w:name w:val="footer"/>
    <w:basedOn w:val="Normal"/>
    <w:uiPriority w:val="99"/>
    <w:rPr>
      <w:rFonts w:cs="Times New Roman"/>
    </w:rPr>
  </w:style>
  <w:style w:type="paragraph" w:customStyle="1" w:styleId="Commentaire1">
    <w:name w:val="Commentaire1"/>
    <w:basedOn w:val="Normal"/>
    <w:rPr>
      <w:rFonts w:cs="Times New Roman"/>
    </w:rPr>
  </w:style>
  <w:style w:type="paragraph" w:styleId="CommentSubject">
    <w:name w:val="annotation subject"/>
    <w:basedOn w:val="Commentaire1"/>
    <w:next w:val="Commentaire1"/>
    <w:rPr>
      <w:b/>
      <w:bCs/>
    </w:rPr>
  </w:style>
  <w:style w:type="paragraph" w:styleId="ListParagraph">
    <w:name w:val="List Paragraph"/>
    <w:aliases w:val="References"/>
    <w:basedOn w:val="Normal"/>
    <w:uiPriority w:val="34"/>
    <w:qFormat/>
    <w:pPr>
      <w:ind w:left="720"/>
      <w:contextualSpacing/>
    </w:p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styleId="Revision">
    <w:name w:val="Revision"/>
    <w:pPr>
      <w:suppressAutoHyphens/>
    </w:pPr>
    <w:rPr>
      <w:rFonts w:ascii="Calibri" w:eastAsia="Calibri" w:hAnsi="Calibri" w:cs="Arial"/>
      <w:lang w:eastAsia="zh-CN"/>
    </w:rPr>
  </w:style>
  <w:style w:type="paragraph" w:customStyle="1" w:styleId="question">
    <w:name w:val="question"/>
    <w:basedOn w:val="Normal"/>
    <w:pPr>
      <w:spacing w:before="280" w:after="280"/>
    </w:pPr>
    <w:rPr>
      <w:rFonts w:ascii="Times New Roman" w:eastAsia="Times New Roman" w:hAnsi="Times New Roman" w:cs="Times New Roman"/>
      <w:sz w:val="24"/>
      <w:szCs w:val="24"/>
    </w:rPr>
  </w:style>
  <w:style w:type="paragraph" w:styleId="NormalWeb">
    <w:name w:val="Normal (Web)"/>
    <w:basedOn w:val="Normal"/>
    <w:uiPriority w:val="99"/>
    <w:pPr>
      <w:spacing w:before="280" w:after="280"/>
    </w:pPr>
    <w:rPr>
      <w:rFonts w:ascii="Times New Roman" w:eastAsia="Times New Roman" w:hAnsi="Times New Roman" w:cs="Times New Roman"/>
      <w:sz w:val="24"/>
      <w:szCs w:val="24"/>
      <w:lang w:val="fr-FR"/>
    </w:rPr>
  </w:style>
  <w:style w:type="paragraph" w:styleId="FootnoteText">
    <w:name w:val="footnote text"/>
    <w:aliases w:val="Char,Char Char Char Char,Char Char Char Char Char Char,Char Char Char Char Char,Char Char Char,Char Char Char Char Char Char Char Char Char,Char Char Char Char Char Char Char Char,Char Char Char Cha Char Char Char, Char, Char Char,fn"/>
    <w:basedOn w:val="Normal"/>
    <w:uiPriority w:val="99"/>
    <w:qFormat/>
    <w:pPr>
      <w:widowControl w:val="0"/>
      <w:tabs>
        <w:tab w:val="left" w:pos="142"/>
      </w:tabs>
      <w:ind w:left="142" w:hanging="142"/>
    </w:pPr>
    <w:rPr>
      <w:rFonts w:ascii="Times New Roman" w:eastAsia="Times New Roman" w:hAnsi="Times New Roman" w:cs="Times New Roman"/>
      <w:spacing w:val="-2"/>
      <w:sz w:val="18"/>
      <w:lang w:val="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ocumentMap">
    <w:name w:val="DocumentMap"/>
    <w:pPr>
      <w:suppressAutoHyphens/>
      <w:spacing w:after="200" w:line="276" w:lineRule="auto"/>
    </w:pPr>
    <w:rPr>
      <w:rFonts w:ascii="Calibri" w:eastAsia="Cambria Math" w:hAnsi="Calibri"/>
      <w:sz w:val="22"/>
      <w:szCs w:val="22"/>
      <w:lang w:val="en-US" w:eastAsia="en-US"/>
    </w:rPr>
  </w:style>
  <w:style w:type="paragraph" w:customStyle="1" w:styleId="pf0">
    <w:name w:val="pf0"/>
    <w:basedOn w:val="Normal"/>
    <w:rsid w:val="00FD3553"/>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rsid w:val="00FD3553"/>
    <w:rPr>
      <w:rFonts w:ascii="Segoe UI" w:hAnsi="Segoe UI" w:cs="Segoe UI" w:hint="default"/>
      <w:sz w:val="18"/>
      <w:szCs w:val="18"/>
    </w:rPr>
  </w:style>
  <w:style w:type="character" w:styleId="CommentReference">
    <w:name w:val="annotation reference"/>
    <w:uiPriority w:val="99"/>
    <w:semiHidden/>
    <w:unhideWhenUsed/>
    <w:rsid w:val="0024762C"/>
    <w:rPr>
      <w:sz w:val="16"/>
      <w:szCs w:val="16"/>
    </w:rPr>
  </w:style>
  <w:style w:type="paragraph" w:styleId="CommentText">
    <w:name w:val="annotation text"/>
    <w:basedOn w:val="Normal"/>
    <w:link w:val="CommentTextChar"/>
    <w:uiPriority w:val="99"/>
    <w:unhideWhenUsed/>
    <w:rsid w:val="0024762C"/>
  </w:style>
  <w:style w:type="character" w:customStyle="1" w:styleId="CommentTextChar">
    <w:name w:val="Comment Text Char"/>
    <w:link w:val="CommentText"/>
    <w:uiPriority w:val="99"/>
    <w:rsid w:val="0024762C"/>
    <w:rPr>
      <w:rFonts w:ascii="Calibri" w:eastAsia="Calibri" w:hAnsi="Calibri" w:cs="Arial"/>
      <w:lang w:eastAsia="zh-CN"/>
    </w:rPr>
  </w:style>
  <w:style w:type="character" w:styleId="FootnoteReference">
    <w:name w:val="footnote reference"/>
    <w:aliases w:val="Ref,de nota al pie,de nota al pie + (Asian) MS Mincho,11 pt,Footnote symbol Car Zchn Zchn Char,Footnote Car Zchn Zchn Char,Times 10 Point Car Zchn Zchn Char,Exposant 3 Point Car Zchn Zchn Char"/>
    <w:link w:val="FootnoteRef"/>
    <w:uiPriority w:val="99"/>
    <w:unhideWhenUsed/>
    <w:qFormat/>
    <w:rsid w:val="007F074F"/>
    <w:rPr>
      <w:vertAlign w:val="superscript"/>
    </w:rPr>
  </w:style>
  <w:style w:type="character" w:styleId="Emphasis">
    <w:name w:val="Emphasis"/>
    <w:basedOn w:val="DefaultParagraphFont"/>
    <w:uiPriority w:val="20"/>
    <w:qFormat/>
    <w:rsid w:val="002001FB"/>
    <w:rPr>
      <w:i/>
      <w:iCs/>
    </w:rPr>
  </w:style>
  <w:style w:type="paragraph" w:styleId="NoSpacing">
    <w:name w:val="No Spacing"/>
    <w:uiPriority w:val="1"/>
    <w:qFormat/>
    <w:rsid w:val="002001FB"/>
    <w:pPr>
      <w:spacing w:after="0" w:line="240" w:lineRule="auto"/>
    </w:pPr>
  </w:style>
  <w:style w:type="paragraph" w:customStyle="1" w:styleId="western">
    <w:name w:val="western"/>
    <w:basedOn w:val="Normal"/>
    <w:rsid w:val="00A00EE9"/>
    <w:pPr>
      <w:spacing w:before="280" w:after="142" w:line="276" w:lineRule="auto"/>
    </w:pPr>
    <w:rPr>
      <w:rFonts w:eastAsia="Times New Roman" w:cs="Calibri"/>
      <w:color w:val="000000"/>
    </w:rPr>
  </w:style>
  <w:style w:type="table" w:styleId="TableGrid">
    <w:name w:val="Table Grid"/>
    <w:basedOn w:val="TableNormal"/>
    <w:uiPriority w:val="39"/>
    <w:rsid w:val="000422C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001FB"/>
    <w:pPr>
      <w:outlineLvl w:val="9"/>
    </w:pPr>
  </w:style>
  <w:style w:type="paragraph" w:styleId="TOC1">
    <w:name w:val="toc 1"/>
    <w:basedOn w:val="Normal"/>
    <w:next w:val="Normal"/>
    <w:autoRedefine/>
    <w:uiPriority w:val="39"/>
    <w:unhideWhenUsed/>
    <w:rsid w:val="00E5088D"/>
    <w:pPr>
      <w:tabs>
        <w:tab w:val="left" w:pos="400"/>
        <w:tab w:val="right" w:leader="dot" w:pos="9016"/>
      </w:tabs>
      <w:spacing w:after="100"/>
    </w:pPr>
    <w:rPr>
      <w:noProof/>
      <w:sz w:val="22"/>
      <w:szCs w:val="22"/>
    </w:rPr>
  </w:style>
  <w:style w:type="paragraph" w:styleId="TOC2">
    <w:name w:val="toc 2"/>
    <w:basedOn w:val="Normal"/>
    <w:next w:val="Normal"/>
    <w:autoRedefine/>
    <w:uiPriority w:val="39"/>
    <w:unhideWhenUsed/>
    <w:rsid w:val="00BA2098"/>
    <w:pPr>
      <w:tabs>
        <w:tab w:val="left" w:pos="880"/>
        <w:tab w:val="right" w:leader="dot" w:pos="9016"/>
      </w:tabs>
      <w:spacing w:after="100"/>
      <w:ind w:left="200"/>
      <w:outlineLvl w:val="1"/>
    </w:pPr>
  </w:style>
  <w:style w:type="paragraph" w:styleId="TOC3">
    <w:name w:val="toc 3"/>
    <w:basedOn w:val="Normal"/>
    <w:next w:val="Normal"/>
    <w:autoRedefine/>
    <w:uiPriority w:val="39"/>
    <w:unhideWhenUsed/>
    <w:rsid w:val="00E5088D"/>
    <w:pPr>
      <w:tabs>
        <w:tab w:val="left" w:pos="1100"/>
        <w:tab w:val="right" w:leader="dot" w:pos="9016"/>
      </w:tabs>
      <w:spacing w:after="100"/>
      <w:ind w:left="400"/>
    </w:pPr>
  </w:style>
  <w:style w:type="character" w:styleId="UnresolvedMention">
    <w:name w:val="Unresolved Mention"/>
    <w:basedOn w:val="DefaultParagraphFont"/>
    <w:uiPriority w:val="99"/>
    <w:semiHidden/>
    <w:unhideWhenUsed/>
    <w:rsid w:val="00A17C94"/>
    <w:rPr>
      <w:color w:val="605E5C"/>
      <w:shd w:val="clear" w:color="auto" w:fill="E1DFDD"/>
    </w:rPr>
  </w:style>
  <w:style w:type="character" w:customStyle="1" w:styleId="Heading4Char">
    <w:name w:val="Heading 4 Char"/>
    <w:basedOn w:val="DefaultParagraphFont"/>
    <w:link w:val="Heading4"/>
    <w:uiPriority w:val="9"/>
    <w:semiHidden/>
    <w:rsid w:val="002001F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001F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001F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001F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001F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001FB"/>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2001FB"/>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2001FB"/>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2001F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001F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001FB"/>
    <w:rPr>
      <w:b/>
      <w:bCs/>
    </w:rPr>
  </w:style>
  <w:style w:type="paragraph" w:styleId="Quote">
    <w:name w:val="Quote"/>
    <w:basedOn w:val="Normal"/>
    <w:next w:val="Normal"/>
    <w:link w:val="QuoteChar"/>
    <w:uiPriority w:val="29"/>
    <w:qFormat/>
    <w:rsid w:val="002001F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001FB"/>
    <w:rPr>
      <w:i/>
      <w:iCs/>
    </w:rPr>
  </w:style>
  <w:style w:type="paragraph" w:styleId="IntenseQuote">
    <w:name w:val="Intense Quote"/>
    <w:basedOn w:val="Normal"/>
    <w:next w:val="Normal"/>
    <w:link w:val="IntenseQuoteChar"/>
    <w:uiPriority w:val="30"/>
    <w:qFormat/>
    <w:rsid w:val="002001FB"/>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2001FB"/>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2001FB"/>
    <w:rPr>
      <w:i/>
      <w:iCs/>
      <w:color w:val="595959" w:themeColor="text1" w:themeTint="A6"/>
    </w:rPr>
  </w:style>
  <w:style w:type="character" w:styleId="IntenseEmphasis">
    <w:name w:val="Intense Emphasis"/>
    <w:basedOn w:val="DefaultParagraphFont"/>
    <w:uiPriority w:val="21"/>
    <w:qFormat/>
    <w:rsid w:val="002001FB"/>
    <w:rPr>
      <w:b/>
      <w:bCs/>
      <w:i/>
      <w:iCs/>
    </w:rPr>
  </w:style>
  <w:style w:type="character" w:styleId="SubtleReference">
    <w:name w:val="Subtle Reference"/>
    <w:basedOn w:val="DefaultParagraphFont"/>
    <w:uiPriority w:val="31"/>
    <w:qFormat/>
    <w:rsid w:val="002001FB"/>
    <w:rPr>
      <w:smallCaps/>
      <w:color w:val="404040" w:themeColor="text1" w:themeTint="BF"/>
    </w:rPr>
  </w:style>
  <w:style w:type="character" w:styleId="IntenseReference">
    <w:name w:val="Intense Reference"/>
    <w:basedOn w:val="DefaultParagraphFont"/>
    <w:uiPriority w:val="32"/>
    <w:qFormat/>
    <w:rsid w:val="002001FB"/>
    <w:rPr>
      <w:b/>
      <w:bCs/>
      <w:smallCaps/>
      <w:u w:val="single"/>
    </w:rPr>
  </w:style>
  <w:style w:type="character" w:styleId="BookTitle">
    <w:name w:val="Book Title"/>
    <w:basedOn w:val="DefaultParagraphFont"/>
    <w:uiPriority w:val="33"/>
    <w:qFormat/>
    <w:rsid w:val="002001FB"/>
    <w:rPr>
      <w:b/>
      <w:bCs/>
      <w:smallCaps/>
    </w:rPr>
  </w:style>
  <w:style w:type="character" w:customStyle="1" w:styleId="markedcontent">
    <w:name w:val="markedcontent"/>
    <w:basedOn w:val="DefaultParagraphFont"/>
    <w:rsid w:val="0017167C"/>
  </w:style>
  <w:style w:type="character" w:customStyle="1" w:styleId="highlight">
    <w:name w:val="highlight"/>
    <w:basedOn w:val="DefaultParagraphFont"/>
    <w:rsid w:val="0017167C"/>
  </w:style>
  <w:style w:type="character" w:customStyle="1" w:styleId="hgkelc">
    <w:name w:val="hgkelc"/>
    <w:basedOn w:val="DefaultParagraphFont"/>
    <w:rsid w:val="00B06F89"/>
  </w:style>
  <w:style w:type="paragraph" w:customStyle="1" w:styleId="FootnoteRef">
    <w:name w:val="Footnote Ref"/>
    <w:aliases w:val="Footnote text,BVI fnr Знак Char,BVI fnr Car Car Знак Char,BVI fnr Car Знак Char,BVI fnr Car Car Car Car Знак Char,callout Char,Footnotes refss Car,Footnote Ref Car"/>
    <w:basedOn w:val="Normal"/>
    <w:link w:val="FootnoteReference"/>
    <w:uiPriority w:val="99"/>
    <w:rsid w:val="00B06F89"/>
    <w:pPr>
      <w:spacing w:after="160" w:line="240" w:lineRule="exact"/>
    </w:pPr>
    <w:rPr>
      <w:vertAlign w:val="superscript"/>
    </w:rPr>
  </w:style>
  <w:style w:type="character" w:customStyle="1" w:styleId="glmot">
    <w:name w:val="gl_mot"/>
    <w:basedOn w:val="DefaultParagraphFont"/>
    <w:rsid w:val="002046C8"/>
  </w:style>
  <w:style w:type="character" w:customStyle="1" w:styleId="FootnoteCharacters">
    <w:name w:val="Footnote Characters"/>
    <w:basedOn w:val="DefaultParagraphFont"/>
    <w:uiPriority w:val="99"/>
    <w:semiHidden/>
    <w:unhideWhenUsed/>
    <w:qFormat/>
    <w:rsid w:val="00AC1FC1"/>
    <w:rPr>
      <w:vertAlign w:val="superscript"/>
    </w:rPr>
  </w:style>
  <w:style w:type="character" w:customStyle="1" w:styleId="FootnoteAnchor">
    <w:name w:val="Footnote Anchor"/>
    <w:rsid w:val="00AC1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53">
      <w:bodyDiv w:val="1"/>
      <w:marLeft w:val="0"/>
      <w:marRight w:val="0"/>
      <w:marTop w:val="0"/>
      <w:marBottom w:val="0"/>
      <w:divBdr>
        <w:top w:val="none" w:sz="0" w:space="0" w:color="auto"/>
        <w:left w:val="none" w:sz="0" w:space="0" w:color="auto"/>
        <w:bottom w:val="none" w:sz="0" w:space="0" w:color="auto"/>
        <w:right w:val="none" w:sz="0" w:space="0" w:color="auto"/>
      </w:divBdr>
    </w:div>
    <w:div w:id="166528133">
      <w:bodyDiv w:val="1"/>
      <w:marLeft w:val="0"/>
      <w:marRight w:val="0"/>
      <w:marTop w:val="0"/>
      <w:marBottom w:val="0"/>
      <w:divBdr>
        <w:top w:val="none" w:sz="0" w:space="0" w:color="auto"/>
        <w:left w:val="none" w:sz="0" w:space="0" w:color="auto"/>
        <w:bottom w:val="none" w:sz="0" w:space="0" w:color="auto"/>
        <w:right w:val="none" w:sz="0" w:space="0" w:color="auto"/>
      </w:divBdr>
    </w:div>
    <w:div w:id="193544291">
      <w:bodyDiv w:val="1"/>
      <w:marLeft w:val="0"/>
      <w:marRight w:val="0"/>
      <w:marTop w:val="0"/>
      <w:marBottom w:val="0"/>
      <w:divBdr>
        <w:top w:val="none" w:sz="0" w:space="0" w:color="auto"/>
        <w:left w:val="none" w:sz="0" w:space="0" w:color="auto"/>
        <w:bottom w:val="none" w:sz="0" w:space="0" w:color="auto"/>
        <w:right w:val="none" w:sz="0" w:space="0" w:color="auto"/>
      </w:divBdr>
    </w:div>
    <w:div w:id="213201438">
      <w:bodyDiv w:val="1"/>
      <w:marLeft w:val="0"/>
      <w:marRight w:val="0"/>
      <w:marTop w:val="0"/>
      <w:marBottom w:val="0"/>
      <w:divBdr>
        <w:top w:val="none" w:sz="0" w:space="0" w:color="auto"/>
        <w:left w:val="none" w:sz="0" w:space="0" w:color="auto"/>
        <w:bottom w:val="none" w:sz="0" w:space="0" w:color="auto"/>
        <w:right w:val="none" w:sz="0" w:space="0" w:color="auto"/>
      </w:divBdr>
    </w:div>
    <w:div w:id="261452077">
      <w:bodyDiv w:val="1"/>
      <w:marLeft w:val="0"/>
      <w:marRight w:val="0"/>
      <w:marTop w:val="0"/>
      <w:marBottom w:val="0"/>
      <w:divBdr>
        <w:top w:val="none" w:sz="0" w:space="0" w:color="auto"/>
        <w:left w:val="none" w:sz="0" w:space="0" w:color="auto"/>
        <w:bottom w:val="none" w:sz="0" w:space="0" w:color="auto"/>
        <w:right w:val="none" w:sz="0" w:space="0" w:color="auto"/>
      </w:divBdr>
    </w:div>
    <w:div w:id="328993335">
      <w:bodyDiv w:val="1"/>
      <w:marLeft w:val="0"/>
      <w:marRight w:val="0"/>
      <w:marTop w:val="0"/>
      <w:marBottom w:val="0"/>
      <w:divBdr>
        <w:top w:val="none" w:sz="0" w:space="0" w:color="auto"/>
        <w:left w:val="none" w:sz="0" w:space="0" w:color="auto"/>
        <w:bottom w:val="none" w:sz="0" w:space="0" w:color="auto"/>
        <w:right w:val="none" w:sz="0" w:space="0" w:color="auto"/>
      </w:divBdr>
    </w:div>
    <w:div w:id="343553074">
      <w:bodyDiv w:val="1"/>
      <w:marLeft w:val="0"/>
      <w:marRight w:val="0"/>
      <w:marTop w:val="0"/>
      <w:marBottom w:val="0"/>
      <w:divBdr>
        <w:top w:val="none" w:sz="0" w:space="0" w:color="auto"/>
        <w:left w:val="none" w:sz="0" w:space="0" w:color="auto"/>
        <w:bottom w:val="none" w:sz="0" w:space="0" w:color="auto"/>
        <w:right w:val="none" w:sz="0" w:space="0" w:color="auto"/>
      </w:divBdr>
    </w:div>
    <w:div w:id="353581686">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420949827">
      <w:bodyDiv w:val="1"/>
      <w:marLeft w:val="0"/>
      <w:marRight w:val="0"/>
      <w:marTop w:val="0"/>
      <w:marBottom w:val="0"/>
      <w:divBdr>
        <w:top w:val="none" w:sz="0" w:space="0" w:color="auto"/>
        <w:left w:val="none" w:sz="0" w:space="0" w:color="auto"/>
        <w:bottom w:val="none" w:sz="0" w:space="0" w:color="auto"/>
        <w:right w:val="none" w:sz="0" w:space="0" w:color="auto"/>
      </w:divBdr>
    </w:div>
    <w:div w:id="456408725">
      <w:bodyDiv w:val="1"/>
      <w:marLeft w:val="0"/>
      <w:marRight w:val="0"/>
      <w:marTop w:val="0"/>
      <w:marBottom w:val="0"/>
      <w:divBdr>
        <w:top w:val="none" w:sz="0" w:space="0" w:color="auto"/>
        <w:left w:val="none" w:sz="0" w:space="0" w:color="auto"/>
        <w:bottom w:val="none" w:sz="0" w:space="0" w:color="auto"/>
        <w:right w:val="none" w:sz="0" w:space="0" w:color="auto"/>
      </w:divBdr>
    </w:div>
    <w:div w:id="601424339">
      <w:bodyDiv w:val="1"/>
      <w:marLeft w:val="0"/>
      <w:marRight w:val="0"/>
      <w:marTop w:val="0"/>
      <w:marBottom w:val="0"/>
      <w:divBdr>
        <w:top w:val="none" w:sz="0" w:space="0" w:color="auto"/>
        <w:left w:val="none" w:sz="0" w:space="0" w:color="auto"/>
        <w:bottom w:val="none" w:sz="0" w:space="0" w:color="auto"/>
        <w:right w:val="none" w:sz="0" w:space="0" w:color="auto"/>
      </w:divBdr>
    </w:div>
    <w:div w:id="650064852">
      <w:bodyDiv w:val="1"/>
      <w:marLeft w:val="0"/>
      <w:marRight w:val="0"/>
      <w:marTop w:val="0"/>
      <w:marBottom w:val="0"/>
      <w:divBdr>
        <w:top w:val="none" w:sz="0" w:space="0" w:color="auto"/>
        <w:left w:val="none" w:sz="0" w:space="0" w:color="auto"/>
        <w:bottom w:val="none" w:sz="0" w:space="0" w:color="auto"/>
        <w:right w:val="none" w:sz="0" w:space="0" w:color="auto"/>
      </w:divBdr>
    </w:div>
    <w:div w:id="665787174">
      <w:bodyDiv w:val="1"/>
      <w:marLeft w:val="0"/>
      <w:marRight w:val="0"/>
      <w:marTop w:val="0"/>
      <w:marBottom w:val="0"/>
      <w:divBdr>
        <w:top w:val="none" w:sz="0" w:space="0" w:color="auto"/>
        <w:left w:val="none" w:sz="0" w:space="0" w:color="auto"/>
        <w:bottom w:val="none" w:sz="0" w:space="0" w:color="auto"/>
        <w:right w:val="none" w:sz="0" w:space="0" w:color="auto"/>
      </w:divBdr>
    </w:div>
    <w:div w:id="751199544">
      <w:bodyDiv w:val="1"/>
      <w:marLeft w:val="0"/>
      <w:marRight w:val="0"/>
      <w:marTop w:val="0"/>
      <w:marBottom w:val="0"/>
      <w:divBdr>
        <w:top w:val="none" w:sz="0" w:space="0" w:color="auto"/>
        <w:left w:val="none" w:sz="0" w:space="0" w:color="auto"/>
        <w:bottom w:val="none" w:sz="0" w:space="0" w:color="auto"/>
        <w:right w:val="none" w:sz="0" w:space="0" w:color="auto"/>
      </w:divBdr>
    </w:div>
    <w:div w:id="780026481">
      <w:bodyDiv w:val="1"/>
      <w:marLeft w:val="0"/>
      <w:marRight w:val="0"/>
      <w:marTop w:val="0"/>
      <w:marBottom w:val="0"/>
      <w:divBdr>
        <w:top w:val="none" w:sz="0" w:space="0" w:color="auto"/>
        <w:left w:val="none" w:sz="0" w:space="0" w:color="auto"/>
        <w:bottom w:val="none" w:sz="0" w:space="0" w:color="auto"/>
        <w:right w:val="none" w:sz="0" w:space="0" w:color="auto"/>
      </w:divBdr>
    </w:div>
    <w:div w:id="973560200">
      <w:bodyDiv w:val="1"/>
      <w:marLeft w:val="0"/>
      <w:marRight w:val="0"/>
      <w:marTop w:val="0"/>
      <w:marBottom w:val="0"/>
      <w:divBdr>
        <w:top w:val="none" w:sz="0" w:space="0" w:color="auto"/>
        <w:left w:val="none" w:sz="0" w:space="0" w:color="auto"/>
        <w:bottom w:val="none" w:sz="0" w:space="0" w:color="auto"/>
        <w:right w:val="none" w:sz="0" w:space="0" w:color="auto"/>
      </w:divBdr>
    </w:div>
    <w:div w:id="1015888050">
      <w:bodyDiv w:val="1"/>
      <w:marLeft w:val="0"/>
      <w:marRight w:val="0"/>
      <w:marTop w:val="0"/>
      <w:marBottom w:val="0"/>
      <w:divBdr>
        <w:top w:val="none" w:sz="0" w:space="0" w:color="auto"/>
        <w:left w:val="none" w:sz="0" w:space="0" w:color="auto"/>
        <w:bottom w:val="none" w:sz="0" w:space="0" w:color="auto"/>
        <w:right w:val="none" w:sz="0" w:space="0" w:color="auto"/>
      </w:divBdr>
      <w:divsChild>
        <w:div w:id="1864589305">
          <w:marLeft w:val="0"/>
          <w:marRight w:val="0"/>
          <w:marTop w:val="0"/>
          <w:marBottom w:val="0"/>
          <w:divBdr>
            <w:top w:val="none" w:sz="0" w:space="0" w:color="auto"/>
            <w:left w:val="none" w:sz="0" w:space="0" w:color="auto"/>
            <w:bottom w:val="none" w:sz="0" w:space="0" w:color="auto"/>
            <w:right w:val="none" w:sz="0" w:space="0" w:color="auto"/>
          </w:divBdr>
        </w:div>
        <w:div w:id="86970340">
          <w:marLeft w:val="0"/>
          <w:marRight w:val="0"/>
          <w:marTop w:val="0"/>
          <w:marBottom w:val="0"/>
          <w:divBdr>
            <w:top w:val="none" w:sz="0" w:space="0" w:color="auto"/>
            <w:left w:val="none" w:sz="0" w:space="0" w:color="auto"/>
            <w:bottom w:val="none" w:sz="0" w:space="0" w:color="auto"/>
            <w:right w:val="none" w:sz="0" w:space="0" w:color="auto"/>
          </w:divBdr>
        </w:div>
      </w:divsChild>
    </w:div>
    <w:div w:id="1173451944">
      <w:bodyDiv w:val="1"/>
      <w:marLeft w:val="0"/>
      <w:marRight w:val="0"/>
      <w:marTop w:val="0"/>
      <w:marBottom w:val="0"/>
      <w:divBdr>
        <w:top w:val="none" w:sz="0" w:space="0" w:color="auto"/>
        <w:left w:val="none" w:sz="0" w:space="0" w:color="auto"/>
        <w:bottom w:val="none" w:sz="0" w:space="0" w:color="auto"/>
        <w:right w:val="none" w:sz="0" w:space="0" w:color="auto"/>
      </w:divBdr>
    </w:div>
    <w:div w:id="1229414896">
      <w:bodyDiv w:val="1"/>
      <w:marLeft w:val="0"/>
      <w:marRight w:val="0"/>
      <w:marTop w:val="0"/>
      <w:marBottom w:val="0"/>
      <w:divBdr>
        <w:top w:val="none" w:sz="0" w:space="0" w:color="auto"/>
        <w:left w:val="none" w:sz="0" w:space="0" w:color="auto"/>
        <w:bottom w:val="none" w:sz="0" w:space="0" w:color="auto"/>
        <w:right w:val="none" w:sz="0" w:space="0" w:color="auto"/>
      </w:divBdr>
    </w:div>
    <w:div w:id="1319112338">
      <w:bodyDiv w:val="1"/>
      <w:marLeft w:val="0"/>
      <w:marRight w:val="0"/>
      <w:marTop w:val="0"/>
      <w:marBottom w:val="0"/>
      <w:divBdr>
        <w:top w:val="none" w:sz="0" w:space="0" w:color="auto"/>
        <w:left w:val="none" w:sz="0" w:space="0" w:color="auto"/>
        <w:bottom w:val="none" w:sz="0" w:space="0" w:color="auto"/>
        <w:right w:val="none" w:sz="0" w:space="0" w:color="auto"/>
      </w:divBdr>
    </w:div>
    <w:div w:id="1379158892">
      <w:bodyDiv w:val="1"/>
      <w:marLeft w:val="0"/>
      <w:marRight w:val="0"/>
      <w:marTop w:val="0"/>
      <w:marBottom w:val="0"/>
      <w:divBdr>
        <w:top w:val="none" w:sz="0" w:space="0" w:color="auto"/>
        <w:left w:val="none" w:sz="0" w:space="0" w:color="auto"/>
        <w:bottom w:val="none" w:sz="0" w:space="0" w:color="auto"/>
        <w:right w:val="none" w:sz="0" w:space="0" w:color="auto"/>
      </w:divBdr>
    </w:div>
    <w:div w:id="1432580605">
      <w:bodyDiv w:val="1"/>
      <w:marLeft w:val="0"/>
      <w:marRight w:val="0"/>
      <w:marTop w:val="0"/>
      <w:marBottom w:val="0"/>
      <w:divBdr>
        <w:top w:val="none" w:sz="0" w:space="0" w:color="auto"/>
        <w:left w:val="none" w:sz="0" w:space="0" w:color="auto"/>
        <w:bottom w:val="none" w:sz="0" w:space="0" w:color="auto"/>
        <w:right w:val="none" w:sz="0" w:space="0" w:color="auto"/>
      </w:divBdr>
    </w:div>
    <w:div w:id="1480000575">
      <w:bodyDiv w:val="1"/>
      <w:marLeft w:val="0"/>
      <w:marRight w:val="0"/>
      <w:marTop w:val="0"/>
      <w:marBottom w:val="0"/>
      <w:divBdr>
        <w:top w:val="none" w:sz="0" w:space="0" w:color="auto"/>
        <w:left w:val="none" w:sz="0" w:space="0" w:color="auto"/>
        <w:bottom w:val="none" w:sz="0" w:space="0" w:color="auto"/>
        <w:right w:val="none" w:sz="0" w:space="0" w:color="auto"/>
      </w:divBdr>
    </w:div>
    <w:div w:id="1682274830">
      <w:bodyDiv w:val="1"/>
      <w:marLeft w:val="0"/>
      <w:marRight w:val="0"/>
      <w:marTop w:val="0"/>
      <w:marBottom w:val="0"/>
      <w:divBdr>
        <w:top w:val="none" w:sz="0" w:space="0" w:color="auto"/>
        <w:left w:val="none" w:sz="0" w:space="0" w:color="auto"/>
        <w:bottom w:val="none" w:sz="0" w:space="0" w:color="auto"/>
        <w:right w:val="none" w:sz="0" w:space="0" w:color="auto"/>
      </w:divBdr>
    </w:div>
    <w:div w:id="1907181326">
      <w:bodyDiv w:val="1"/>
      <w:marLeft w:val="0"/>
      <w:marRight w:val="0"/>
      <w:marTop w:val="0"/>
      <w:marBottom w:val="0"/>
      <w:divBdr>
        <w:top w:val="none" w:sz="0" w:space="0" w:color="auto"/>
        <w:left w:val="none" w:sz="0" w:space="0" w:color="auto"/>
        <w:bottom w:val="none" w:sz="0" w:space="0" w:color="auto"/>
        <w:right w:val="none" w:sz="0" w:space="0" w:color="auto"/>
      </w:divBdr>
    </w:div>
    <w:div w:id="20438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las.vannuffel@cncd.be" TargetMode="External"/><Relationship Id="rId4" Type="http://schemas.openxmlformats.org/officeDocument/2006/relationships/settings" Target="settings.xml"/><Relationship Id="rId9" Type="http://schemas.openxmlformats.org/officeDocument/2006/relationships/hyperlink" Target="mailto:cncd@cncd.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98BB-796F-4A89-AE5B-6F8B955E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14754</CharactersWithSpaces>
  <SharedDoc>false</SharedDoc>
  <HLinks>
    <vt:vector size="12" baseType="variant">
      <vt:variant>
        <vt:i4>6815750</vt:i4>
      </vt:variant>
      <vt:variant>
        <vt:i4>3</vt:i4>
      </vt:variant>
      <vt:variant>
        <vt:i4>0</vt:i4>
      </vt:variant>
      <vt:variant>
        <vt:i4>5</vt:i4>
      </vt:variant>
      <vt:variant>
        <vt:lpwstr>mailto:sabine.kakunga@cncd.be</vt:lpwstr>
      </vt:variant>
      <vt:variant>
        <vt:lpwstr/>
      </vt:variant>
      <vt:variant>
        <vt:i4>4849774</vt:i4>
      </vt:variant>
      <vt:variant>
        <vt:i4>0</vt:i4>
      </vt:variant>
      <vt:variant>
        <vt:i4>0</vt:i4>
      </vt:variant>
      <vt:variant>
        <vt:i4>5</vt:i4>
      </vt:variant>
      <vt:variant>
        <vt:lpwstr>mailto:cncd@cncd.be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Joppen Hans - D2.5</dc:creator>
  <cp:keywords/>
  <cp:lastModifiedBy>Durieux Carol - D2.5</cp:lastModifiedBy>
  <cp:revision>2</cp:revision>
  <cp:lastPrinted>2023-09-14T11:00:00Z</cp:lastPrinted>
  <dcterms:created xsi:type="dcterms:W3CDTF">2023-09-14T11:00:00Z</dcterms:created>
  <dcterms:modified xsi:type="dcterms:W3CDTF">2023-09-14T11:00:00Z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_ForeignAffairsClassification">
    <vt:lpwstr>Non classifié - Niet geclassificeerd</vt:lpwstr>
  </property>
  <property fmtid="{D5CDD505-2E9C-101B-9397-08002B2CF9AE}" pid="3" name="BE_ForeignAffairsMarkering">
    <vt:lpwstr>Markering inactief - Marquage inactif</vt:lpwstr>
  </property>
  <property fmtid="{D5CDD505-2E9C-101B-9397-08002B2CF9AE}" pid="4" name="TitusGUID">
    <vt:lpwstr>e155325d-c209-461d-8dc3-2b781a0a3269</vt:lpwstr>
  </property>
  <property fmtid="{D5CDD505-2E9C-101B-9397-08002B2CF9AE}" pid="5" name="MSIP_Label_dddc1db8-2f64-468c-a02a-c7d04ea19826_Enabled">
    <vt:lpwstr>true</vt:lpwstr>
  </property>
  <property fmtid="{D5CDD505-2E9C-101B-9397-08002B2CF9AE}" pid="6" name="MSIP_Label_dddc1db8-2f64-468c-a02a-c7d04ea19826_SetDate">
    <vt:lpwstr>2023-09-14T11:00:37Z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8e703659-3f52-4676-b86f-4b4d46cb1097</vt:lpwstr>
  </property>
  <property fmtid="{D5CDD505-2E9C-101B-9397-08002B2CF9AE}" pid="11" name="MSIP_Label_dddc1db8-2f64-468c-a02a-c7d04ea19826_ContentBits">
    <vt:lpwstr>0</vt:lpwstr>
  </property>
</Properties>
</file>