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CC55" w14:textId="35B21B7F" w:rsidR="004774C8" w:rsidRDefault="00671C28" w:rsidP="00B942FD">
      <w:pPr>
        <w:rPr>
          <w:rFonts w:ascii="Verdana" w:hAnsi="Verdana"/>
        </w:rPr>
      </w:pPr>
      <w:r>
        <w:rPr>
          <w:rFonts w:ascii="Verdana" w:hAnsi="Verdana"/>
          <w:noProof/>
        </w:rPr>
        <w:drawing>
          <wp:anchor distT="0" distB="0" distL="114300" distR="114300" simplePos="0" relativeHeight="251658244" behindDoc="1" locked="0" layoutInCell="1" allowOverlap="1" wp14:anchorId="7D6394B3" wp14:editId="2E2ABE29">
            <wp:simplePos x="0" y="0"/>
            <wp:positionH relativeFrom="column">
              <wp:posOffset>-899160</wp:posOffset>
            </wp:positionH>
            <wp:positionV relativeFrom="paragraph">
              <wp:posOffset>-920750</wp:posOffset>
            </wp:positionV>
            <wp:extent cx="7559675" cy="106934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p>
    <w:bookmarkStart w:id="0" w:name="_Toc457292463"/>
    <w:p w14:paraId="0ADE0732" w14:textId="784CBE05" w:rsidR="00C010A9" w:rsidRPr="00C010A9" w:rsidRDefault="00E66D7D" w:rsidP="3CBCFBEA">
      <w:pPr>
        <w:jc w:val="both"/>
        <w:rPr>
          <w:rFonts w:eastAsia="Times New Roman" w:cs="Arial"/>
          <w:color w:val="262626"/>
          <w:lang w:val="nl-BE"/>
        </w:rPr>
      </w:pPr>
      <w:r w:rsidRPr="00D511C4">
        <w:rPr>
          <w:rFonts w:eastAsia="Times New Roman" w:cs="Arial"/>
          <w:noProof/>
          <w:color w:val="262626"/>
          <w:szCs w:val="22"/>
          <w:lang w:val="nl-BE"/>
        </w:rPr>
        <mc:AlternateContent>
          <mc:Choice Requires="wps">
            <w:drawing>
              <wp:anchor distT="45720" distB="45720" distL="114300" distR="114300" simplePos="0" relativeHeight="251665408" behindDoc="0" locked="1" layoutInCell="1" allowOverlap="1" wp14:anchorId="1EE998C8" wp14:editId="3322CAE4">
                <wp:simplePos x="0" y="0"/>
                <wp:positionH relativeFrom="page">
                  <wp:align>left</wp:align>
                </wp:positionH>
                <wp:positionV relativeFrom="paragraph">
                  <wp:posOffset>5100320</wp:posOffset>
                </wp:positionV>
                <wp:extent cx="7581265" cy="1125220"/>
                <wp:effectExtent l="0" t="0" r="635"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265" cy="1125220"/>
                        </a:xfrm>
                        <a:prstGeom prst="rect">
                          <a:avLst/>
                        </a:prstGeom>
                        <a:solidFill>
                          <a:sysClr val="window" lastClr="FFFFFF"/>
                        </a:solidFill>
                        <a:ln w="9525">
                          <a:noFill/>
                          <a:miter lim="800000"/>
                          <a:headEnd/>
                          <a:tailEnd/>
                        </a:ln>
                      </wps:spPr>
                      <wps:txbx>
                        <w:txbxContent>
                          <w:p w14:paraId="123E5E86" w14:textId="21FB0954" w:rsidR="00171C97" w:rsidRPr="00171C97" w:rsidRDefault="00171C97" w:rsidP="00E66D7D">
                            <w:pPr>
                              <w:rPr>
                                <w:rFonts w:ascii="Lora" w:hAnsi="Lora"/>
                                <w:b/>
                                <w:bCs/>
                                <w:color w:val="3F4954"/>
                                <w:sz w:val="56"/>
                                <w:szCs w:val="56"/>
                                <w:lang w:val="fr-BE"/>
                              </w:rPr>
                            </w:pPr>
                            <w:r>
                              <w:rPr>
                                <w:rFonts w:ascii="Lora" w:hAnsi="Lora"/>
                                <w:b/>
                                <w:bCs/>
                                <w:color w:val="3F4954"/>
                                <w:sz w:val="56"/>
                                <w:szCs w:val="56"/>
                                <w:lang w:val="fr-BE"/>
                              </w:rPr>
                              <w:t xml:space="preserve">Cahier </w:t>
                            </w:r>
                            <w:r w:rsidR="00353097">
                              <w:rPr>
                                <w:rFonts w:ascii="Lora" w:hAnsi="Lora"/>
                                <w:b/>
                                <w:bCs/>
                                <w:color w:val="3F4954"/>
                                <w:sz w:val="56"/>
                                <w:szCs w:val="56"/>
                                <w:lang w:val="fr-BE"/>
                              </w:rPr>
                              <w:t>spécial</w:t>
                            </w:r>
                            <w:r>
                              <w:rPr>
                                <w:rFonts w:ascii="Lora" w:hAnsi="Lora"/>
                                <w:b/>
                                <w:bCs/>
                                <w:color w:val="3F4954"/>
                                <w:sz w:val="56"/>
                                <w:szCs w:val="56"/>
                                <w:lang w:val="fr-BE"/>
                              </w:rPr>
                              <w:t xml:space="preserve"> des charges</w:t>
                            </w:r>
                          </w:p>
                          <w:p w14:paraId="2C98E8E4" w14:textId="1985A8B6" w:rsidR="00E66D7D" w:rsidRPr="00171C97" w:rsidRDefault="005A3452" w:rsidP="00E66D7D">
                            <w:pPr>
                              <w:rPr>
                                <w:rFonts w:ascii="Lora" w:hAnsi="Lora"/>
                                <w:b/>
                                <w:bCs/>
                                <w:color w:val="3F4954"/>
                                <w:sz w:val="56"/>
                                <w:szCs w:val="56"/>
                                <w:lang w:val="fr-BE"/>
                              </w:rPr>
                            </w:pPr>
                            <w:r w:rsidRPr="008A0CCE">
                              <w:rPr>
                                <w:rFonts w:ascii="Lora" w:hAnsi="Lora"/>
                                <w:b/>
                                <w:bCs/>
                                <w:color w:val="3F4954"/>
                                <w:sz w:val="56"/>
                                <w:szCs w:val="56"/>
                                <w:lang w:val="fr-BE"/>
                              </w:rPr>
                              <w:t>Réf</w:t>
                            </w:r>
                            <w:r w:rsidR="00E66D7D" w:rsidRPr="008A0CCE">
                              <w:rPr>
                                <w:rFonts w:ascii="Lora" w:hAnsi="Lora"/>
                                <w:b/>
                                <w:bCs/>
                                <w:color w:val="3F4954"/>
                                <w:sz w:val="56"/>
                                <w:szCs w:val="56"/>
                                <w:lang w:val="fr-BE"/>
                              </w:rPr>
                              <w:t>. S2/20</w:t>
                            </w:r>
                            <w:r w:rsidR="00CB71F8" w:rsidRPr="008A0CCE">
                              <w:rPr>
                                <w:rFonts w:ascii="Lora" w:hAnsi="Lora"/>
                                <w:b/>
                                <w:bCs/>
                                <w:color w:val="3F4954"/>
                                <w:sz w:val="56"/>
                                <w:szCs w:val="56"/>
                                <w:lang w:val="fr-BE"/>
                              </w:rPr>
                              <w:t>22</w:t>
                            </w:r>
                            <w:r w:rsidR="00E66D7D" w:rsidRPr="008A0CCE">
                              <w:rPr>
                                <w:rFonts w:ascii="Lora" w:hAnsi="Lora"/>
                                <w:b/>
                                <w:bCs/>
                                <w:color w:val="3F4954"/>
                                <w:sz w:val="56"/>
                                <w:szCs w:val="56"/>
                                <w:lang w:val="fr-BE"/>
                              </w:rPr>
                              <w:t>/</w:t>
                            </w:r>
                            <w:r w:rsidR="001A4B6B" w:rsidRPr="008A0CCE">
                              <w:rPr>
                                <w:rFonts w:ascii="Lora" w:hAnsi="Lora"/>
                                <w:b/>
                                <w:bCs/>
                                <w:color w:val="3F4954"/>
                                <w:sz w:val="56"/>
                                <w:szCs w:val="56"/>
                                <w:lang w:val="fr-BE"/>
                              </w:rPr>
                              <w:t>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998C8" id="_x0000_t202" coordsize="21600,21600" o:spt="202" path="m,l,21600r21600,l21600,xe">
                <v:stroke joinstyle="miter"/>
                <v:path gradientshapeok="t" o:connecttype="rect"/>
              </v:shapetype>
              <v:shape id="Zone de texte 2" o:spid="_x0000_s1026" type="#_x0000_t202" style="position:absolute;left:0;text-align:left;margin-left:0;margin-top:401.6pt;width:596.95pt;height:88.6pt;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" fillcolor="window" stroked="f">
                <v:textbox>
                  <w:txbxContent>
                    <w:p w14:paraId="123E5E86" w14:textId="21FB0954" w:rsidR="00171C97" w:rsidRPr="00171C97" w:rsidRDefault="00171C97" w:rsidP="00E66D7D">
                      <w:pPr>
                        <w:rPr>
                          <w:rFonts w:ascii="Lora" w:hAnsi="Lora"/>
                          <w:b/>
                          <w:bCs/>
                          <w:color w:val="3F4954"/>
                          <w:sz w:val="56"/>
                          <w:szCs w:val="56"/>
                          <w:lang w:val="fr-BE"/>
                        </w:rPr>
                      </w:pPr>
                      <w:r>
                        <w:rPr>
                          <w:rFonts w:ascii="Lora" w:hAnsi="Lora"/>
                          <w:b/>
                          <w:bCs/>
                          <w:color w:val="3F4954"/>
                          <w:sz w:val="56"/>
                          <w:szCs w:val="56"/>
                          <w:lang w:val="fr-BE"/>
                        </w:rPr>
                        <w:t xml:space="preserve">Cahier </w:t>
                      </w:r>
                      <w:r w:rsidR="00353097">
                        <w:rPr>
                          <w:rFonts w:ascii="Lora" w:hAnsi="Lora"/>
                          <w:b/>
                          <w:bCs/>
                          <w:color w:val="3F4954"/>
                          <w:sz w:val="56"/>
                          <w:szCs w:val="56"/>
                          <w:lang w:val="fr-BE"/>
                        </w:rPr>
                        <w:t>spécial</w:t>
                      </w:r>
                      <w:r>
                        <w:rPr>
                          <w:rFonts w:ascii="Lora" w:hAnsi="Lora"/>
                          <w:b/>
                          <w:bCs/>
                          <w:color w:val="3F4954"/>
                          <w:sz w:val="56"/>
                          <w:szCs w:val="56"/>
                          <w:lang w:val="fr-BE"/>
                        </w:rPr>
                        <w:t xml:space="preserve"> des charges</w:t>
                      </w:r>
                    </w:p>
                    <w:p w14:paraId="2C98E8E4" w14:textId="1985A8B6" w:rsidR="00E66D7D" w:rsidRPr="00171C97" w:rsidRDefault="005A3452" w:rsidP="00E66D7D">
                      <w:pPr>
                        <w:rPr>
                          <w:rFonts w:ascii="Lora" w:hAnsi="Lora"/>
                          <w:b/>
                          <w:bCs/>
                          <w:color w:val="3F4954"/>
                          <w:sz w:val="56"/>
                          <w:szCs w:val="56"/>
                          <w:lang w:val="fr-BE"/>
                        </w:rPr>
                      </w:pPr>
                      <w:r w:rsidRPr="008A0CCE">
                        <w:rPr>
                          <w:rFonts w:ascii="Lora" w:hAnsi="Lora"/>
                          <w:b/>
                          <w:bCs/>
                          <w:color w:val="3F4954"/>
                          <w:sz w:val="56"/>
                          <w:szCs w:val="56"/>
                          <w:lang w:val="fr-BE"/>
                        </w:rPr>
                        <w:t>Réf</w:t>
                      </w:r>
                      <w:r w:rsidR="00E66D7D" w:rsidRPr="008A0CCE">
                        <w:rPr>
                          <w:rFonts w:ascii="Lora" w:hAnsi="Lora"/>
                          <w:b/>
                          <w:bCs/>
                          <w:color w:val="3F4954"/>
                          <w:sz w:val="56"/>
                          <w:szCs w:val="56"/>
                          <w:lang w:val="fr-BE"/>
                        </w:rPr>
                        <w:t>. S2/20</w:t>
                      </w:r>
                      <w:r w:rsidR="00CB71F8" w:rsidRPr="008A0CCE">
                        <w:rPr>
                          <w:rFonts w:ascii="Lora" w:hAnsi="Lora"/>
                          <w:b/>
                          <w:bCs/>
                          <w:color w:val="3F4954"/>
                          <w:sz w:val="56"/>
                          <w:szCs w:val="56"/>
                          <w:lang w:val="fr-BE"/>
                        </w:rPr>
                        <w:t>22</w:t>
                      </w:r>
                      <w:r w:rsidR="00E66D7D" w:rsidRPr="008A0CCE">
                        <w:rPr>
                          <w:rFonts w:ascii="Lora" w:hAnsi="Lora"/>
                          <w:b/>
                          <w:bCs/>
                          <w:color w:val="3F4954"/>
                          <w:sz w:val="56"/>
                          <w:szCs w:val="56"/>
                          <w:lang w:val="fr-BE"/>
                        </w:rPr>
                        <w:t>/</w:t>
                      </w:r>
                      <w:r w:rsidR="001A4B6B" w:rsidRPr="008A0CCE">
                        <w:rPr>
                          <w:rFonts w:ascii="Lora" w:hAnsi="Lora"/>
                          <w:b/>
                          <w:bCs/>
                          <w:color w:val="3F4954"/>
                          <w:sz w:val="56"/>
                          <w:szCs w:val="56"/>
                          <w:lang w:val="fr-BE"/>
                        </w:rPr>
                        <w:t>03</w:t>
                      </w:r>
                    </w:p>
                  </w:txbxContent>
                </v:textbox>
                <w10:wrap anchorx="page"/>
                <w10:anchorlock/>
              </v:shape>
            </w:pict>
          </mc:Fallback>
        </mc:AlternateContent>
      </w:r>
      <w:r w:rsidR="00D511C4" w:rsidRPr="00D511C4">
        <w:rPr>
          <w:rFonts w:eastAsia="Times New Roman" w:cs="Arial"/>
          <w:noProof/>
          <w:color w:val="262626"/>
          <w:szCs w:val="22"/>
          <w:lang w:val="nl-BE"/>
        </w:rPr>
        <mc:AlternateContent>
          <mc:Choice Requires="wps">
            <w:drawing>
              <wp:anchor distT="0" distB="0" distL="114300" distR="114300" simplePos="0" relativeHeight="251653120" behindDoc="0" locked="1" layoutInCell="1" allowOverlap="1" wp14:anchorId="2C64BD04" wp14:editId="5FEC81F7">
                <wp:simplePos x="0" y="0"/>
                <wp:positionH relativeFrom="margin">
                  <wp:posOffset>-899160</wp:posOffset>
                </wp:positionH>
                <wp:positionV relativeFrom="paragraph">
                  <wp:posOffset>4586605</wp:posOffset>
                </wp:positionV>
                <wp:extent cx="7545070" cy="4064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7545070" cy="406400"/>
                        </a:xfrm>
                        <a:prstGeom prst="rect">
                          <a:avLst/>
                        </a:prstGeom>
                        <a:solidFill>
                          <a:schemeClr val="bg1"/>
                        </a:solidFill>
                        <a:ln w="6350">
                          <a:noFill/>
                        </a:ln>
                      </wps:spPr>
                      <wps:txbx>
                        <w:txbxContent>
                          <w:p w14:paraId="2319245B" w14:textId="42F85482" w:rsidR="00D511C4" w:rsidRPr="00100761" w:rsidRDefault="00D511C4" w:rsidP="002C3240">
                            <w:pPr>
                              <w:jc w:val="both"/>
                              <w:rPr>
                                <w:rFonts w:ascii="Lora Medium" w:hAnsi="Lora Medium"/>
                                <w:color w:val="897464"/>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4BD04" id="Zone de texte 5" o:spid="_x0000_s1027" type="#_x0000_t202" style="position:absolute;left:0;text-align:left;margin-left:-70.8pt;margin-top:361.15pt;width:594.1pt;height:3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" fillcolor="white [3212]" stroked="f" strokeweight=".5pt">
                <v:textbox>
                  <w:txbxContent>
                    <w:p w14:paraId="2319245B" w14:textId="42F85482" w:rsidR="00D511C4" w:rsidRPr="00100761" w:rsidRDefault="00D511C4" w:rsidP="002C3240">
                      <w:pPr>
                        <w:jc w:val="both"/>
                        <w:rPr>
                          <w:rFonts w:ascii="Lora Medium" w:hAnsi="Lora Medium"/>
                          <w:color w:val="897464"/>
                          <w:sz w:val="60"/>
                          <w:szCs w:val="60"/>
                        </w:rPr>
                      </w:pPr>
                    </w:p>
                  </w:txbxContent>
                </v:textbox>
                <w10:wrap anchorx="margin"/>
                <w10:anchorlock/>
              </v:shape>
            </w:pict>
          </mc:Fallback>
        </mc:AlternateContent>
      </w:r>
      <w:r w:rsidR="00D511C4" w:rsidRPr="00D511C4">
        <w:rPr>
          <w:rFonts w:eastAsia="Times New Roman" w:cs="Arial"/>
          <w:noProof/>
          <w:color w:val="262626"/>
          <w:szCs w:val="22"/>
          <w:lang w:val="nl-BE"/>
        </w:rPr>
        <mc:AlternateContent>
          <mc:Choice Requires="wps">
            <w:drawing>
              <wp:anchor distT="45720" distB="45720" distL="114300" distR="114300" simplePos="0" relativeHeight="251657216" behindDoc="0" locked="1" layoutInCell="1" allowOverlap="1" wp14:anchorId="286F8EAE" wp14:editId="5EC797A2">
                <wp:simplePos x="0" y="0"/>
                <wp:positionH relativeFrom="page">
                  <wp:posOffset>12700</wp:posOffset>
                </wp:positionH>
                <wp:positionV relativeFrom="paragraph">
                  <wp:posOffset>2668905</wp:posOffset>
                </wp:positionV>
                <wp:extent cx="7581265" cy="1587500"/>
                <wp:effectExtent l="0" t="0" r="63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265" cy="1587500"/>
                        </a:xfrm>
                        <a:prstGeom prst="rect">
                          <a:avLst/>
                        </a:prstGeom>
                        <a:solidFill>
                          <a:schemeClr val="bg1"/>
                        </a:solidFill>
                        <a:ln w="9525">
                          <a:noFill/>
                          <a:miter lim="800000"/>
                          <a:headEnd/>
                          <a:tailEnd/>
                        </a:ln>
                      </wps:spPr>
                      <wps:txbx>
                        <w:txbxContent>
                          <w:p w14:paraId="169469CA" w14:textId="20610E02" w:rsidR="00D511C4" w:rsidRPr="009F7FC6" w:rsidRDefault="006B7AE1" w:rsidP="00A53D39">
                            <w:pPr>
                              <w:rPr>
                                <w:rFonts w:ascii="Lora" w:hAnsi="Lora"/>
                                <w:b/>
                                <w:bCs/>
                                <w:color w:val="3F4954"/>
                                <w:sz w:val="56"/>
                                <w:szCs w:val="56"/>
                                <w:lang w:val="fr-BE"/>
                              </w:rPr>
                            </w:pPr>
                            <w:r w:rsidRPr="009F7FC6">
                              <w:rPr>
                                <w:rFonts w:ascii="Lora" w:hAnsi="Lora"/>
                                <w:b/>
                                <w:bCs/>
                                <w:color w:val="3F4954"/>
                                <w:sz w:val="56"/>
                                <w:szCs w:val="56"/>
                                <w:lang w:val="fr-BE"/>
                              </w:rPr>
                              <w:t xml:space="preserve">Procédure ouverte portant sur </w:t>
                            </w:r>
                            <w:r w:rsidR="00A53D39">
                              <w:rPr>
                                <w:rFonts w:ascii="Lora" w:hAnsi="Lora"/>
                                <w:b/>
                                <w:bCs/>
                                <w:color w:val="3F4954"/>
                                <w:sz w:val="56"/>
                                <w:szCs w:val="56"/>
                                <w:lang w:val="fr-BE"/>
                              </w:rPr>
                              <w:br/>
                            </w:r>
                            <w:r w:rsidRPr="009F7FC6">
                              <w:rPr>
                                <w:rFonts w:ascii="Lora" w:hAnsi="Lora"/>
                                <w:b/>
                                <w:bCs/>
                                <w:color w:val="3F4954"/>
                                <w:sz w:val="56"/>
                                <w:szCs w:val="56"/>
                                <w:lang w:val="fr-BE"/>
                              </w:rPr>
                              <w:t>l’évaluation</w:t>
                            </w:r>
                            <w:r w:rsidR="00EA2731">
                              <w:rPr>
                                <w:rFonts w:ascii="Lora" w:hAnsi="Lora"/>
                                <w:b/>
                                <w:bCs/>
                                <w:color w:val="3F4954"/>
                                <w:sz w:val="56"/>
                                <w:szCs w:val="56"/>
                                <w:lang w:val="fr-BE"/>
                              </w:rPr>
                              <w:t xml:space="preserve"> de l’approche </w:t>
                            </w:r>
                            <w:r w:rsidR="00EA2731" w:rsidRPr="00EA2731">
                              <w:rPr>
                                <w:rFonts w:ascii="Lora" w:hAnsi="Lora"/>
                                <w:b/>
                                <w:bCs/>
                                <w:color w:val="3F4954"/>
                                <w:sz w:val="56"/>
                                <w:szCs w:val="56"/>
                                <w:lang w:val="fr-BE"/>
                              </w:rPr>
                              <w:t>belge</w:t>
                            </w:r>
                            <w:r w:rsidR="00884A2C">
                              <w:rPr>
                                <w:rFonts w:ascii="Lora" w:hAnsi="Lora"/>
                                <w:b/>
                                <w:bCs/>
                                <w:color w:val="3F4954"/>
                                <w:sz w:val="56"/>
                                <w:szCs w:val="56"/>
                                <w:lang w:val="fr-BE"/>
                              </w:rPr>
                              <w:t xml:space="preserve"> en matière de fragilité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F8EAE" id="_x0000_s1028" type="#_x0000_t202" style="position:absolute;left:0;text-align:left;margin-left:1pt;margin-top:210.15pt;width:596.95pt;height:1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" fillcolor="white [3212]" stroked="f">
                <v:textbox>
                  <w:txbxContent>
                    <w:p w14:paraId="169469CA" w14:textId="20610E02" w:rsidR="00D511C4" w:rsidRPr="009F7FC6" w:rsidRDefault="006B7AE1" w:rsidP="00A53D39">
                      <w:pPr>
                        <w:rPr>
                          <w:rFonts w:ascii="Lora" w:hAnsi="Lora"/>
                          <w:b/>
                          <w:bCs/>
                          <w:color w:val="3F4954"/>
                          <w:sz w:val="56"/>
                          <w:szCs w:val="56"/>
                          <w:lang w:val="fr-BE"/>
                        </w:rPr>
                      </w:pPr>
                      <w:r w:rsidRPr="009F7FC6">
                        <w:rPr>
                          <w:rFonts w:ascii="Lora" w:hAnsi="Lora"/>
                          <w:b/>
                          <w:bCs/>
                          <w:color w:val="3F4954"/>
                          <w:sz w:val="56"/>
                          <w:szCs w:val="56"/>
                          <w:lang w:val="fr-BE"/>
                        </w:rPr>
                        <w:t xml:space="preserve">Procédure ouverte portant sur </w:t>
                      </w:r>
                      <w:r w:rsidR="00A53D39">
                        <w:rPr>
                          <w:rFonts w:ascii="Lora" w:hAnsi="Lora"/>
                          <w:b/>
                          <w:bCs/>
                          <w:color w:val="3F4954"/>
                          <w:sz w:val="56"/>
                          <w:szCs w:val="56"/>
                          <w:lang w:val="fr-BE"/>
                        </w:rPr>
                        <w:br/>
                      </w:r>
                      <w:r w:rsidRPr="009F7FC6">
                        <w:rPr>
                          <w:rFonts w:ascii="Lora" w:hAnsi="Lora"/>
                          <w:b/>
                          <w:bCs/>
                          <w:color w:val="3F4954"/>
                          <w:sz w:val="56"/>
                          <w:szCs w:val="56"/>
                          <w:lang w:val="fr-BE"/>
                        </w:rPr>
                        <w:t>l’évaluation</w:t>
                      </w:r>
                      <w:r w:rsidR="00EA2731">
                        <w:rPr>
                          <w:rFonts w:ascii="Lora" w:hAnsi="Lora"/>
                          <w:b/>
                          <w:bCs/>
                          <w:color w:val="3F4954"/>
                          <w:sz w:val="56"/>
                          <w:szCs w:val="56"/>
                          <w:lang w:val="fr-BE"/>
                        </w:rPr>
                        <w:t xml:space="preserve"> de l’approche </w:t>
                      </w:r>
                      <w:r w:rsidR="00EA2731" w:rsidRPr="00EA2731">
                        <w:rPr>
                          <w:rFonts w:ascii="Lora" w:hAnsi="Lora"/>
                          <w:b/>
                          <w:bCs/>
                          <w:color w:val="3F4954"/>
                          <w:sz w:val="56"/>
                          <w:szCs w:val="56"/>
                          <w:lang w:val="fr-BE"/>
                        </w:rPr>
                        <w:t>belge</w:t>
                      </w:r>
                      <w:r w:rsidR="00884A2C">
                        <w:rPr>
                          <w:rFonts w:ascii="Lora" w:hAnsi="Lora"/>
                          <w:b/>
                          <w:bCs/>
                          <w:color w:val="3F4954"/>
                          <w:sz w:val="56"/>
                          <w:szCs w:val="56"/>
                          <w:lang w:val="fr-BE"/>
                        </w:rPr>
                        <w:t xml:space="preserve"> en matière de fragilité</w:t>
                      </w:r>
                    </w:p>
                  </w:txbxContent>
                </v:textbox>
                <w10:wrap anchorx="page"/>
                <w10:anchorlock/>
              </v:shape>
            </w:pict>
          </mc:Fallback>
        </mc:AlternateContent>
      </w:r>
      <w:r w:rsidR="00D511C4" w:rsidRPr="00D511C4">
        <w:rPr>
          <w:rFonts w:eastAsia="Times New Roman" w:cs="Arial"/>
          <w:noProof/>
          <w:color w:val="262626"/>
          <w:szCs w:val="22"/>
          <w:lang w:val="nl-BE"/>
        </w:rPr>
        <mc:AlternateContent>
          <mc:Choice Requires="wps">
            <w:drawing>
              <wp:anchor distT="0" distB="0" distL="114300" distR="114300" simplePos="0" relativeHeight="251661312" behindDoc="0" locked="1" layoutInCell="1" allowOverlap="1" wp14:anchorId="4C464179" wp14:editId="1747AF4B">
                <wp:simplePos x="0" y="0"/>
                <wp:positionH relativeFrom="margin">
                  <wp:posOffset>196850</wp:posOffset>
                </wp:positionH>
                <wp:positionV relativeFrom="paragraph">
                  <wp:posOffset>7964805</wp:posOffset>
                </wp:positionV>
                <wp:extent cx="5359400" cy="1040765"/>
                <wp:effectExtent l="0" t="0" r="0" b="6985"/>
                <wp:wrapNone/>
                <wp:docPr id="6" name="Zone de texte 6"/>
                <wp:cNvGraphicFramePr/>
                <a:graphic xmlns:a="http://schemas.openxmlformats.org/drawingml/2006/main">
                  <a:graphicData uri="http://schemas.microsoft.com/office/word/2010/wordprocessingShape">
                    <wps:wsp>
                      <wps:cNvSpPr txBox="1"/>
                      <wps:spPr>
                        <a:xfrm>
                          <a:off x="0" y="0"/>
                          <a:ext cx="5359400" cy="1040765"/>
                        </a:xfrm>
                        <a:prstGeom prst="rect">
                          <a:avLst/>
                        </a:prstGeom>
                        <a:solidFill>
                          <a:schemeClr val="bg1"/>
                        </a:solidFill>
                        <a:ln w="6350">
                          <a:noFill/>
                        </a:ln>
                      </wps:spPr>
                      <wps:txbx>
                        <w:txbxContent>
                          <w:p w14:paraId="56AB1CBC" w14:textId="5AB01FA9" w:rsidR="00D511C4" w:rsidRPr="003B0E72" w:rsidRDefault="0098521C" w:rsidP="00D511C4">
                            <w:pPr>
                              <w:rPr>
                                <w:rFonts w:ascii="Lora" w:hAnsi="Lora"/>
                                <w:b/>
                                <w:bCs/>
                                <w:color w:val="3F4954"/>
                                <w:sz w:val="28"/>
                                <w:lang w:val="fr-BE"/>
                              </w:rPr>
                            </w:pPr>
                            <w:r w:rsidRPr="003B0E72">
                              <w:rPr>
                                <w:rFonts w:ascii="Lora" w:hAnsi="Lora"/>
                                <w:b/>
                                <w:bCs/>
                                <w:color w:val="3F4954"/>
                                <w:sz w:val="28"/>
                                <w:lang w:val="fr-BE"/>
                              </w:rPr>
                              <w:t xml:space="preserve">Le Service de l’Evaluation spéciale de la </w:t>
                            </w:r>
                            <w:r w:rsidR="00A53D39" w:rsidRPr="003B0E72">
                              <w:rPr>
                                <w:rFonts w:ascii="Lora" w:hAnsi="Lora"/>
                                <w:b/>
                                <w:bCs/>
                                <w:color w:val="3F4954"/>
                                <w:sz w:val="28"/>
                                <w:lang w:val="fr-BE"/>
                              </w:rPr>
                              <w:t>Coopération</w:t>
                            </w:r>
                            <w:r w:rsidR="003B0E72" w:rsidRPr="003B0E72">
                              <w:rPr>
                                <w:rFonts w:ascii="Lora" w:hAnsi="Lora"/>
                                <w:b/>
                                <w:bCs/>
                                <w:color w:val="3F4954"/>
                                <w:sz w:val="28"/>
                                <w:lang w:val="fr-BE"/>
                              </w:rPr>
                              <w:t xml:space="preserve"> belg</w:t>
                            </w:r>
                            <w:r w:rsidR="003B0E72">
                              <w:rPr>
                                <w:rFonts w:ascii="Lora" w:hAnsi="Lora"/>
                                <w:b/>
                                <w:bCs/>
                                <w:color w:val="3F4954"/>
                                <w:sz w:val="28"/>
                                <w:lang w:val="fr-BE"/>
                              </w:rPr>
                              <w:t>e au Développement</w:t>
                            </w:r>
                            <w:r w:rsidR="002C3240" w:rsidRPr="003B0E72">
                              <w:rPr>
                                <w:rFonts w:ascii="Lora" w:hAnsi="Lora"/>
                                <w:b/>
                                <w:bCs/>
                                <w:color w:val="3F4954"/>
                                <w:sz w:val="28"/>
                                <w:lang w:val="fr-BE"/>
                              </w:rPr>
                              <w:t xml:space="preserve"> – S2</w:t>
                            </w:r>
                          </w:p>
                          <w:p w14:paraId="543E363F" w14:textId="712902B5" w:rsidR="00D511C4" w:rsidRPr="00353097" w:rsidRDefault="00884A2C" w:rsidP="00D511C4">
                            <w:pPr>
                              <w:rPr>
                                <w:rFonts w:ascii="Roboto Medium" w:hAnsi="Roboto Medium"/>
                                <w:color w:val="897464"/>
                                <w:sz w:val="52"/>
                                <w:szCs w:val="52"/>
                                <w:lang w:val="fr-BE"/>
                              </w:rPr>
                            </w:pPr>
                            <w:r>
                              <w:rPr>
                                <w:rFonts w:ascii="Lora" w:hAnsi="Lora"/>
                                <w:b/>
                                <w:bCs/>
                                <w:color w:val="3F4954"/>
                                <w:sz w:val="28"/>
                                <w:lang w:val="fr-BE"/>
                              </w:rPr>
                              <w:t>Novembre</w:t>
                            </w:r>
                            <w:r w:rsidR="00AA2D6A" w:rsidRPr="00353097">
                              <w:rPr>
                                <w:rFonts w:ascii="Lora" w:hAnsi="Lora"/>
                                <w:b/>
                                <w:bCs/>
                                <w:color w:val="3F4954"/>
                                <w:sz w:val="28"/>
                                <w:lang w:val="fr-BE"/>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64179" id="Zone de texte 6" o:spid="_x0000_s1029" type="#_x0000_t202" style="position:absolute;left:0;text-align:left;margin-left:15.5pt;margin-top:627.15pt;width:422pt;height:8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" fillcolor="white [3212]" stroked="f" strokeweight=".5pt">
                <v:textbox>
                  <w:txbxContent>
                    <w:p w14:paraId="56AB1CBC" w14:textId="5AB01FA9" w:rsidR="00D511C4" w:rsidRPr="003B0E72" w:rsidRDefault="0098521C" w:rsidP="00D511C4">
                      <w:pPr>
                        <w:rPr>
                          <w:rFonts w:ascii="Lora" w:hAnsi="Lora"/>
                          <w:b/>
                          <w:bCs/>
                          <w:color w:val="3F4954"/>
                          <w:sz w:val="28"/>
                          <w:lang w:val="fr-BE"/>
                        </w:rPr>
                      </w:pPr>
                      <w:r w:rsidRPr="003B0E72">
                        <w:rPr>
                          <w:rFonts w:ascii="Lora" w:hAnsi="Lora"/>
                          <w:b/>
                          <w:bCs/>
                          <w:color w:val="3F4954"/>
                          <w:sz w:val="28"/>
                          <w:lang w:val="fr-BE"/>
                        </w:rPr>
                        <w:t xml:space="preserve">Le Service de l’Evaluation spéciale de la </w:t>
                      </w:r>
                      <w:r w:rsidR="00A53D39" w:rsidRPr="003B0E72">
                        <w:rPr>
                          <w:rFonts w:ascii="Lora" w:hAnsi="Lora"/>
                          <w:b/>
                          <w:bCs/>
                          <w:color w:val="3F4954"/>
                          <w:sz w:val="28"/>
                          <w:lang w:val="fr-BE"/>
                        </w:rPr>
                        <w:t>Coopération</w:t>
                      </w:r>
                      <w:r w:rsidR="003B0E72" w:rsidRPr="003B0E72">
                        <w:rPr>
                          <w:rFonts w:ascii="Lora" w:hAnsi="Lora"/>
                          <w:b/>
                          <w:bCs/>
                          <w:color w:val="3F4954"/>
                          <w:sz w:val="28"/>
                          <w:lang w:val="fr-BE"/>
                        </w:rPr>
                        <w:t xml:space="preserve"> belg</w:t>
                      </w:r>
                      <w:r w:rsidR="003B0E72">
                        <w:rPr>
                          <w:rFonts w:ascii="Lora" w:hAnsi="Lora"/>
                          <w:b/>
                          <w:bCs/>
                          <w:color w:val="3F4954"/>
                          <w:sz w:val="28"/>
                          <w:lang w:val="fr-BE"/>
                        </w:rPr>
                        <w:t>e au Développement</w:t>
                      </w:r>
                      <w:r w:rsidR="002C3240" w:rsidRPr="003B0E72">
                        <w:rPr>
                          <w:rFonts w:ascii="Lora" w:hAnsi="Lora"/>
                          <w:b/>
                          <w:bCs/>
                          <w:color w:val="3F4954"/>
                          <w:sz w:val="28"/>
                          <w:lang w:val="fr-BE"/>
                        </w:rPr>
                        <w:t xml:space="preserve"> – S2</w:t>
                      </w:r>
                    </w:p>
                    <w:p w14:paraId="543E363F" w14:textId="712902B5" w:rsidR="00D511C4" w:rsidRPr="00353097" w:rsidRDefault="00884A2C" w:rsidP="00D511C4">
                      <w:pPr>
                        <w:rPr>
                          <w:rFonts w:ascii="Roboto Medium" w:hAnsi="Roboto Medium"/>
                          <w:color w:val="897464"/>
                          <w:sz w:val="52"/>
                          <w:szCs w:val="52"/>
                          <w:lang w:val="fr-BE"/>
                        </w:rPr>
                      </w:pPr>
                      <w:r>
                        <w:rPr>
                          <w:rFonts w:ascii="Lora" w:hAnsi="Lora"/>
                          <w:b/>
                          <w:bCs/>
                          <w:color w:val="3F4954"/>
                          <w:sz w:val="28"/>
                          <w:lang w:val="fr-BE"/>
                        </w:rPr>
                        <w:t>Novembre</w:t>
                      </w:r>
                      <w:r w:rsidR="00AA2D6A" w:rsidRPr="00353097">
                        <w:rPr>
                          <w:rFonts w:ascii="Lora" w:hAnsi="Lora"/>
                          <w:b/>
                          <w:bCs/>
                          <w:color w:val="3F4954"/>
                          <w:sz w:val="28"/>
                          <w:lang w:val="fr-BE"/>
                        </w:rPr>
                        <w:t xml:space="preserve"> 2022</w:t>
                      </w:r>
                    </w:p>
                  </w:txbxContent>
                </v:textbox>
                <w10:wrap anchorx="margin"/>
                <w10:anchorlock/>
              </v:shape>
            </w:pict>
          </mc:Fallback>
        </mc:AlternateContent>
      </w:r>
      <w:r w:rsidR="00C010A9" w:rsidRPr="00C010A9">
        <w:rPr>
          <w:rFonts w:eastAsia="Times New Roman" w:cs="Arial"/>
          <w:color w:val="262626"/>
          <w:szCs w:val="22"/>
          <w:lang w:val="nl-BE"/>
        </w:rPr>
        <w:tab/>
      </w:r>
      <w:r w:rsidR="00C010A9" w:rsidRPr="00C010A9">
        <w:rPr>
          <w:rFonts w:eastAsia="Times New Roman" w:cs="Arial"/>
          <w:color w:val="262626"/>
          <w:szCs w:val="22"/>
          <w:lang w:val="nl-BE"/>
        </w:rPr>
        <w:tab/>
      </w:r>
      <w:r w:rsidR="00C010A9" w:rsidRPr="00C010A9">
        <w:rPr>
          <w:rFonts w:eastAsia="Times New Roman" w:cs="Arial"/>
          <w:color w:val="262626"/>
          <w:szCs w:val="22"/>
          <w:lang w:val="nl-BE"/>
        </w:rPr>
        <w:tab/>
      </w:r>
    </w:p>
    <w:p w14:paraId="02C6CC27" w14:textId="28097023" w:rsidR="00C010A9" w:rsidRPr="00C010A9" w:rsidRDefault="00C010A9" w:rsidP="00C010A9">
      <w:pPr>
        <w:spacing w:after="0"/>
        <w:jc w:val="left"/>
        <w:rPr>
          <w:rFonts w:eastAsia="Times New Roman" w:cs="Arial"/>
          <w:color w:val="262626"/>
          <w:szCs w:val="22"/>
          <w:lang w:val="nl-BE"/>
        </w:rPr>
        <w:sectPr w:rsidR="00C010A9" w:rsidRPr="00C010A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sectPr>
      </w:pPr>
    </w:p>
    <w:bookmarkEnd w:id="0" w:displacedByCustomXml="next"/>
    <w:bookmarkStart w:id="1" w:name="_Toc117603187" w:displacedByCustomXml="next"/>
    <w:sdt>
      <w:sdtPr>
        <w:rPr>
          <w:rFonts w:ascii="Roboto" w:eastAsiaTheme="minorHAnsi" w:hAnsi="Roboto" w:cstheme="minorBidi"/>
          <w:b w:val="0"/>
          <w:bCs w:val="0"/>
          <w:color w:val="auto"/>
          <w:sz w:val="22"/>
          <w:lang w:val="en-US"/>
        </w:rPr>
        <w:id w:val="1462774164"/>
        <w:docPartObj>
          <w:docPartGallery w:val="Table of Contents"/>
          <w:docPartUnique/>
        </w:docPartObj>
      </w:sdtPr>
      <w:sdtEndPr>
        <w:rPr>
          <w:noProof/>
        </w:rPr>
      </w:sdtEndPr>
      <w:sdtContent>
        <w:p w14:paraId="2B1FACC3" w14:textId="4CB9AAEB" w:rsidR="00DC461A" w:rsidRPr="00353097" w:rsidRDefault="00C364FC" w:rsidP="00E0145E">
          <w:pPr>
            <w:pStyle w:val="Vade-mecumtitre1"/>
            <w:numPr>
              <w:ilvl w:val="0"/>
              <w:numId w:val="0"/>
            </w:numPr>
            <w:rPr>
              <w:lang w:val="fr-BE"/>
            </w:rPr>
          </w:pPr>
          <w:r w:rsidRPr="00353097">
            <w:rPr>
              <w:lang w:val="fr-BE"/>
            </w:rPr>
            <w:t>Tables des matières</w:t>
          </w:r>
          <w:bookmarkEnd w:id="1"/>
        </w:p>
        <w:p w14:paraId="1CBD34CD" w14:textId="1C3872AD" w:rsidR="00A53D39" w:rsidRDefault="00DC461A" w:rsidP="00353097">
          <w:pPr>
            <w:pStyle w:val="TOC1"/>
            <w:jc w:val="both"/>
            <w:rPr>
              <w:rFonts w:asciiTheme="minorHAnsi" w:eastAsiaTheme="minorEastAsia" w:hAnsiTheme="minorHAnsi" w:cstheme="minorBidi"/>
              <w:szCs w:val="22"/>
              <w:lang w:val="en-BE" w:eastAsia="en-BE"/>
            </w:rPr>
          </w:pPr>
          <w:r w:rsidRPr="005924FE">
            <w:rPr>
              <w:b/>
              <w:bCs/>
              <w:noProof w:val="0"/>
            </w:rPr>
            <w:fldChar w:fldCharType="begin"/>
          </w:r>
          <w:r w:rsidRPr="005924FE">
            <w:rPr>
              <w:b/>
              <w:bCs/>
            </w:rPr>
            <w:instrText xml:space="preserve"> TOC \o "1-3" \h \z \u </w:instrText>
          </w:r>
          <w:r w:rsidRPr="005924FE">
            <w:rPr>
              <w:b/>
              <w:bCs/>
              <w:noProof w:val="0"/>
            </w:rPr>
            <w:fldChar w:fldCharType="separate"/>
          </w:r>
          <w:hyperlink w:anchor="_Toc117603188" w:history="1">
            <w:r w:rsidR="00A53D39" w:rsidRPr="00340C05">
              <w:rPr>
                <w:rStyle w:val="Hyperlink"/>
                <w:rFonts w:ascii="Lora" w:hAnsi="Lora"/>
                <w:b/>
                <w:bCs/>
                <w:lang w:val="fr-BE"/>
              </w:rPr>
              <w:t>A. DISPOSTIONS GÉNÉRALES</w:t>
            </w:r>
            <w:r w:rsidR="00A53D39">
              <w:rPr>
                <w:webHidden/>
              </w:rPr>
              <w:tab/>
            </w:r>
            <w:r w:rsidR="00A53D39">
              <w:rPr>
                <w:webHidden/>
              </w:rPr>
              <w:fldChar w:fldCharType="begin"/>
            </w:r>
            <w:r w:rsidR="00A53D39">
              <w:rPr>
                <w:webHidden/>
              </w:rPr>
              <w:instrText xml:space="preserve"> PAGEREF _Toc117603188 \h </w:instrText>
            </w:r>
            <w:r w:rsidR="00A53D39">
              <w:rPr>
                <w:webHidden/>
              </w:rPr>
            </w:r>
            <w:r w:rsidR="00A53D39">
              <w:rPr>
                <w:webHidden/>
              </w:rPr>
              <w:fldChar w:fldCharType="separate"/>
            </w:r>
            <w:r w:rsidR="00353097">
              <w:rPr>
                <w:webHidden/>
              </w:rPr>
              <w:t>1</w:t>
            </w:r>
            <w:r w:rsidR="00A53D39">
              <w:rPr>
                <w:webHidden/>
              </w:rPr>
              <w:fldChar w:fldCharType="end"/>
            </w:r>
          </w:hyperlink>
        </w:p>
        <w:p w14:paraId="219F6AA0" w14:textId="0F875735" w:rsidR="00A53D39" w:rsidRDefault="00852A01">
          <w:pPr>
            <w:pStyle w:val="TOC1"/>
            <w:rPr>
              <w:rFonts w:asciiTheme="minorHAnsi" w:eastAsiaTheme="minorEastAsia" w:hAnsiTheme="minorHAnsi" w:cstheme="minorBidi"/>
              <w:szCs w:val="22"/>
              <w:lang w:val="en-BE" w:eastAsia="en-BE"/>
            </w:rPr>
          </w:pPr>
          <w:hyperlink w:anchor="_Toc117603189" w:history="1">
            <w:r w:rsidR="00A53D39" w:rsidRPr="00340C05">
              <w:rPr>
                <w:rStyle w:val="Hyperlink"/>
                <w:lang w:val="fr-BE"/>
              </w:rPr>
              <w:t>A1. Objet et nature du marché</w:t>
            </w:r>
            <w:r w:rsidR="00A53D39">
              <w:rPr>
                <w:webHidden/>
              </w:rPr>
              <w:tab/>
            </w:r>
            <w:r w:rsidR="00A53D39">
              <w:rPr>
                <w:webHidden/>
              </w:rPr>
              <w:fldChar w:fldCharType="begin"/>
            </w:r>
            <w:r w:rsidR="00A53D39">
              <w:rPr>
                <w:webHidden/>
              </w:rPr>
              <w:instrText xml:space="preserve"> PAGEREF _Toc117603189 \h </w:instrText>
            </w:r>
            <w:r w:rsidR="00A53D39">
              <w:rPr>
                <w:webHidden/>
              </w:rPr>
            </w:r>
            <w:r w:rsidR="00A53D39">
              <w:rPr>
                <w:webHidden/>
              </w:rPr>
              <w:fldChar w:fldCharType="separate"/>
            </w:r>
            <w:r w:rsidR="00353097">
              <w:rPr>
                <w:webHidden/>
              </w:rPr>
              <w:t>1</w:t>
            </w:r>
            <w:r w:rsidR="00A53D39">
              <w:rPr>
                <w:webHidden/>
              </w:rPr>
              <w:fldChar w:fldCharType="end"/>
            </w:r>
          </w:hyperlink>
        </w:p>
        <w:p w14:paraId="7BCA40E8" w14:textId="0944E62D" w:rsidR="00A53D39" w:rsidRDefault="00852A01">
          <w:pPr>
            <w:pStyle w:val="TOC1"/>
            <w:rPr>
              <w:rFonts w:asciiTheme="minorHAnsi" w:eastAsiaTheme="minorEastAsia" w:hAnsiTheme="minorHAnsi" w:cstheme="minorBidi"/>
              <w:szCs w:val="22"/>
              <w:lang w:val="en-BE" w:eastAsia="en-BE"/>
            </w:rPr>
          </w:pPr>
          <w:hyperlink w:anchor="_Toc117603190" w:history="1">
            <w:r w:rsidR="00A53D39" w:rsidRPr="00340C05">
              <w:rPr>
                <w:rStyle w:val="Hyperlink"/>
                <w:lang w:val="fr-BE"/>
              </w:rPr>
              <w:t>A2. Durée du contrat</w:t>
            </w:r>
            <w:r w:rsidR="00A53D39">
              <w:rPr>
                <w:webHidden/>
              </w:rPr>
              <w:tab/>
            </w:r>
            <w:r w:rsidR="00A53D39">
              <w:rPr>
                <w:webHidden/>
              </w:rPr>
              <w:fldChar w:fldCharType="begin"/>
            </w:r>
            <w:r w:rsidR="00A53D39">
              <w:rPr>
                <w:webHidden/>
              </w:rPr>
              <w:instrText xml:space="preserve"> PAGEREF _Toc117603190 \h </w:instrText>
            </w:r>
            <w:r w:rsidR="00A53D39">
              <w:rPr>
                <w:webHidden/>
              </w:rPr>
            </w:r>
            <w:r w:rsidR="00A53D39">
              <w:rPr>
                <w:webHidden/>
              </w:rPr>
              <w:fldChar w:fldCharType="separate"/>
            </w:r>
            <w:r w:rsidR="00353097">
              <w:rPr>
                <w:webHidden/>
              </w:rPr>
              <w:t>1</w:t>
            </w:r>
            <w:r w:rsidR="00A53D39">
              <w:rPr>
                <w:webHidden/>
              </w:rPr>
              <w:fldChar w:fldCharType="end"/>
            </w:r>
          </w:hyperlink>
        </w:p>
        <w:p w14:paraId="1928FABF" w14:textId="1300124B" w:rsidR="00A53D39" w:rsidRDefault="00852A01">
          <w:pPr>
            <w:pStyle w:val="TOC1"/>
            <w:rPr>
              <w:rFonts w:asciiTheme="minorHAnsi" w:eastAsiaTheme="minorEastAsia" w:hAnsiTheme="minorHAnsi" w:cstheme="minorBidi"/>
              <w:szCs w:val="22"/>
              <w:lang w:val="en-BE" w:eastAsia="en-BE"/>
            </w:rPr>
          </w:pPr>
          <w:hyperlink w:anchor="_Toc117603191" w:history="1">
            <w:r w:rsidR="00A53D39" w:rsidRPr="00340C05">
              <w:rPr>
                <w:rStyle w:val="Hyperlink"/>
                <w:lang w:val="fr-BE"/>
              </w:rPr>
              <w:t>A3. Pouvoir adjudicateur</w:t>
            </w:r>
            <w:r w:rsidR="00A53D39">
              <w:rPr>
                <w:webHidden/>
              </w:rPr>
              <w:tab/>
            </w:r>
            <w:r w:rsidR="00A53D39">
              <w:rPr>
                <w:webHidden/>
              </w:rPr>
              <w:fldChar w:fldCharType="begin"/>
            </w:r>
            <w:r w:rsidR="00A53D39">
              <w:rPr>
                <w:webHidden/>
              </w:rPr>
              <w:instrText xml:space="preserve"> PAGEREF _Toc117603191 \h </w:instrText>
            </w:r>
            <w:r w:rsidR="00A53D39">
              <w:rPr>
                <w:webHidden/>
              </w:rPr>
            </w:r>
            <w:r w:rsidR="00A53D39">
              <w:rPr>
                <w:webHidden/>
              </w:rPr>
              <w:fldChar w:fldCharType="separate"/>
            </w:r>
            <w:r w:rsidR="00353097">
              <w:rPr>
                <w:webHidden/>
              </w:rPr>
              <w:t>1</w:t>
            </w:r>
            <w:r w:rsidR="00A53D39">
              <w:rPr>
                <w:webHidden/>
              </w:rPr>
              <w:fldChar w:fldCharType="end"/>
            </w:r>
          </w:hyperlink>
        </w:p>
        <w:p w14:paraId="54282B9B" w14:textId="67909457" w:rsidR="00A53D39" w:rsidRDefault="00852A01">
          <w:pPr>
            <w:pStyle w:val="TOC1"/>
            <w:rPr>
              <w:rFonts w:asciiTheme="minorHAnsi" w:eastAsiaTheme="minorEastAsia" w:hAnsiTheme="minorHAnsi" w:cstheme="minorBidi"/>
              <w:szCs w:val="22"/>
              <w:lang w:val="en-BE" w:eastAsia="en-BE"/>
            </w:rPr>
          </w:pPr>
          <w:hyperlink w:anchor="_Toc117603192" w:history="1">
            <w:r w:rsidR="00A53D39" w:rsidRPr="00340C05">
              <w:rPr>
                <w:rStyle w:val="Hyperlink"/>
              </w:rPr>
              <w:t>A4. Informations complémentaires</w:t>
            </w:r>
            <w:r w:rsidR="00A53D39">
              <w:rPr>
                <w:webHidden/>
              </w:rPr>
              <w:tab/>
            </w:r>
            <w:r w:rsidR="00A53D39">
              <w:rPr>
                <w:webHidden/>
              </w:rPr>
              <w:fldChar w:fldCharType="begin"/>
            </w:r>
            <w:r w:rsidR="00A53D39">
              <w:rPr>
                <w:webHidden/>
              </w:rPr>
              <w:instrText xml:space="preserve"> PAGEREF _Toc117603192 \h </w:instrText>
            </w:r>
            <w:r w:rsidR="00A53D39">
              <w:rPr>
                <w:webHidden/>
              </w:rPr>
            </w:r>
            <w:r w:rsidR="00A53D39">
              <w:rPr>
                <w:webHidden/>
              </w:rPr>
              <w:fldChar w:fldCharType="separate"/>
            </w:r>
            <w:r w:rsidR="00353097">
              <w:rPr>
                <w:webHidden/>
              </w:rPr>
              <w:t>2</w:t>
            </w:r>
            <w:r w:rsidR="00A53D39">
              <w:rPr>
                <w:webHidden/>
              </w:rPr>
              <w:fldChar w:fldCharType="end"/>
            </w:r>
          </w:hyperlink>
        </w:p>
        <w:p w14:paraId="2334E18E" w14:textId="4A29D699" w:rsidR="00A53D39" w:rsidRDefault="00852A01">
          <w:pPr>
            <w:pStyle w:val="TOC1"/>
            <w:rPr>
              <w:rFonts w:asciiTheme="minorHAnsi" w:eastAsiaTheme="minorEastAsia" w:hAnsiTheme="minorHAnsi" w:cstheme="minorBidi"/>
              <w:szCs w:val="22"/>
              <w:lang w:val="en-BE" w:eastAsia="en-BE"/>
            </w:rPr>
          </w:pPr>
          <w:hyperlink w:anchor="_Toc117603194" w:history="1">
            <w:r w:rsidR="00A53D39" w:rsidRPr="00340C05">
              <w:rPr>
                <w:rStyle w:val="Hyperlink"/>
                <w:lang w:val="fr-BE"/>
              </w:rPr>
              <w:t>A5. Droit d'introduction et ouverte des offres</w:t>
            </w:r>
            <w:r w:rsidR="00A53D39">
              <w:rPr>
                <w:webHidden/>
              </w:rPr>
              <w:tab/>
            </w:r>
            <w:r w:rsidR="00A53D39">
              <w:rPr>
                <w:webHidden/>
              </w:rPr>
              <w:fldChar w:fldCharType="begin"/>
            </w:r>
            <w:r w:rsidR="00A53D39">
              <w:rPr>
                <w:webHidden/>
              </w:rPr>
              <w:instrText xml:space="preserve"> PAGEREF _Toc117603194 \h </w:instrText>
            </w:r>
            <w:r w:rsidR="00A53D39">
              <w:rPr>
                <w:webHidden/>
              </w:rPr>
            </w:r>
            <w:r w:rsidR="00A53D39">
              <w:rPr>
                <w:webHidden/>
              </w:rPr>
              <w:fldChar w:fldCharType="separate"/>
            </w:r>
            <w:r w:rsidR="00353097">
              <w:rPr>
                <w:webHidden/>
              </w:rPr>
              <w:t>2</w:t>
            </w:r>
            <w:r w:rsidR="00A53D39">
              <w:rPr>
                <w:webHidden/>
              </w:rPr>
              <w:fldChar w:fldCharType="end"/>
            </w:r>
          </w:hyperlink>
        </w:p>
        <w:p w14:paraId="60C1E72E" w14:textId="0C0AAE1A" w:rsidR="00A53D39" w:rsidRDefault="00852A01">
          <w:pPr>
            <w:pStyle w:val="TOC1"/>
            <w:rPr>
              <w:rFonts w:asciiTheme="minorHAnsi" w:eastAsiaTheme="minorEastAsia" w:hAnsiTheme="minorHAnsi" w:cstheme="minorBidi"/>
              <w:szCs w:val="22"/>
              <w:lang w:val="en-BE" w:eastAsia="en-BE"/>
            </w:rPr>
          </w:pPr>
          <w:hyperlink w:anchor="_Toc117603197" w:history="1">
            <w:r w:rsidR="00A53D39" w:rsidRPr="00340C05">
              <w:rPr>
                <w:rStyle w:val="Hyperlink"/>
                <w:lang w:val="fr-BE"/>
              </w:rPr>
              <w:t>A6. Fonctionnaire dirigeant</w:t>
            </w:r>
            <w:r w:rsidR="00A53D39">
              <w:rPr>
                <w:webHidden/>
              </w:rPr>
              <w:tab/>
            </w:r>
            <w:r w:rsidR="00A53D39">
              <w:rPr>
                <w:webHidden/>
              </w:rPr>
              <w:fldChar w:fldCharType="begin"/>
            </w:r>
            <w:r w:rsidR="00A53D39">
              <w:rPr>
                <w:webHidden/>
              </w:rPr>
              <w:instrText xml:space="preserve"> PAGEREF _Toc117603197 \h </w:instrText>
            </w:r>
            <w:r w:rsidR="00A53D39">
              <w:rPr>
                <w:webHidden/>
              </w:rPr>
            </w:r>
            <w:r w:rsidR="00A53D39">
              <w:rPr>
                <w:webHidden/>
              </w:rPr>
              <w:fldChar w:fldCharType="separate"/>
            </w:r>
            <w:r w:rsidR="00353097">
              <w:rPr>
                <w:webHidden/>
              </w:rPr>
              <w:t>3</w:t>
            </w:r>
            <w:r w:rsidR="00A53D39">
              <w:rPr>
                <w:webHidden/>
              </w:rPr>
              <w:fldChar w:fldCharType="end"/>
            </w:r>
          </w:hyperlink>
        </w:p>
        <w:p w14:paraId="09CEBFBB" w14:textId="11F5EA82" w:rsidR="00A53D39" w:rsidRDefault="00852A01">
          <w:pPr>
            <w:pStyle w:val="TOC1"/>
            <w:rPr>
              <w:rFonts w:asciiTheme="minorHAnsi" w:eastAsiaTheme="minorEastAsia" w:hAnsiTheme="minorHAnsi" w:cstheme="minorBidi"/>
              <w:szCs w:val="22"/>
              <w:lang w:val="en-BE" w:eastAsia="en-BE"/>
            </w:rPr>
          </w:pPr>
          <w:hyperlink w:anchor="_Toc117603198" w:history="1">
            <w:r w:rsidR="00A53D39" w:rsidRPr="00340C05">
              <w:rPr>
                <w:rStyle w:val="Hyperlink"/>
                <w:lang w:val="fr-BE"/>
              </w:rPr>
              <w:t>A7. Description des services à prester</w:t>
            </w:r>
            <w:r w:rsidR="00A53D39">
              <w:rPr>
                <w:webHidden/>
              </w:rPr>
              <w:tab/>
            </w:r>
            <w:r w:rsidR="00A53D39">
              <w:rPr>
                <w:webHidden/>
              </w:rPr>
              <w:fldChar w:fldCharType="begin"/>
            </w:r>
            <w:r w:rsidR="00A53D39">
              <w:rPr>
                <w:webHidden/>
              </w:rPr>
              <w:instrText xml:space="preserve"> PAGEREF _Toc117603198 \h </w:instrText>
            </w:r>
            <w:r w:rsidR="00A53D39">
              <w:rPr>
                <w:webHidden/>
              </w:rPr>
            </w:r>
            <w:r w:rsidR="00A53D39">
              <w:rPr>
                <w:webHidden/>
              </w:rPr>
              <w:fldChar w:fldCharType="separate"/>
            </w:r>
            <w:r w:rsidR="00353097">
              <w:rPr>
                <w:webHidden/>
              </w:rPr>
              <w:t>3</w:t>
            </w:r>
            <w:r w:rsidR="00A53D39">
              <w:rPr>
                <w:webHidden/>
              </w:rPr>
              <w:fldChar w:fldCharType="end"/>
            </w:r>
          </w:hyperlink>
        </w:p>
        <w:p w14:paraId="5B9E319D" w14:textId="7E37D062" w:rsidR="00A53D39" w:rsidRDefault="00852A01">
          <w:pPr>
            <w:pStyle w:val="TOC1"/>
            <w:rPr>
              <w:rFonts w:asciiTheme="minorHAnsi" w:eastAsiaTheme="minorEastAsia" w:hAnsiTheme="minorHAnsi" w:cstheme="minorBidi"/>
              <w:szCs w:val="22"/>
              <w:lang w:val="en-BE" w:eastAsia="en-BE"/>
            </w:rPr>
          </w:pPr>
          <w:hyperlink w:anchor="_Toc117603199" w:history="1">
            <w:r w:rsidR="00A53D39" w:rsidRPr="00340C05">
              <w:rPr>
                <w:rStyle w:val="Hyperlink"/>
              </w:rPr>
              <w:t>A8. Documents régissant le marché</w:t>
            </w:r>
            <w:r w:rsidR="00A53D39">
              <w:rPr>
                <w:webHidden/>
              </w:rPr>
              <w:tab/>
            </w:r>
            <w:r w:rsidR="00A53D39">
              <w:rPr>
                <w:webHidden/>
              </w:rPr>
              <w:fldChar w:fldCharType="begin"/>
            </w:r>
            <w:r w:rsidR="00A53D39">
              <w:rPr>
                <w:webHidden/>
              </w:rPr>
              <w:instrText xml:space="preserve"> PAGEREF _Toc117603199 \h </w:instrText>
            </w:r>
            <w:r w:rsidR="00A53D39">
              <w:rPr>
                <w:webHidden/>
              </w:rPr>
            </w:r>
            <w:r w:rsidR="00A53D39">
              <w:rPr>
                <w:webHidden/>
              </w:rPr>
              <w:fldChar w:fldCharType="separate"/>
            </w:r>
            <w:r w:rsidR="00353097">
              <w:rPr>
                <w:webHidden/>
              </w:rPr>
              <w:t>4</w:t>
            </w:r>
            <w:r w:rsidR="00A53D39">
              <w:rPr>
                <w:webHidden/>
              </w:rPr>
              <w:fldChar w:fldCharType="end"/>
            </w:r>
          </w:hyperlink>
        </w:p>
        <w:p w14:paraId="7745D4D8" w14:textId="0BF0321B" w:rsidR="00A53D39" w:rsidRDefault="00852A01">
          <w:pPr>
            <w:pStyle w:val="TOC1"/>
            <w:rPr>
              <w:rFonts w:asciiTheme="minorHAnsi" w:eastAsiaTheme="minorEastAsia" w:hAnsiTheme="minorHAnsi" w:cstheme="minorBidi"/>
              <w:szCs w:val="22"/>
              <w:lang w:val="en-BE" w:eastAsia="en-BE"/>
            </w:rPr>
          </w:pPr>
          <w:hyperlink w:anchor="_Toc117603203" w:history="1">
            <w:r w:rsidR="00A53D39" w:rsidRPr="00340C05">
              <w:rPr>
                <w:rStyle w:val="Hyperlink"/>
                <w:lang w:val="fr-BE"/>
              </w:rPr>
              <w:t>A9. Offres</w:t>
            </w:r>
            <w:r w:rsidR="00A53D39">
              <w:rPr>
                <w:webHidden/>
              </w:rPr>
              <w:tab/>
            </w:r>
            <w:r w:rsidR="00A53D39">
              <w:rPr>
                <w:webHidden/>
              </w:rPr>
              <w:fldChar w:fldCharType="begin"/>
            </w:r>
            <w:r w:rsidR="00A53D39">
              <w:rPr>
                <w:webHidden/>
              </w:rPr>
              <w:instrText xml:space="preserve"> PAGEREF _Toc117603203 \h </w:instrText>
            </w:r>
            <w:r w:rsidR="00A53D39">
              <w:rPr>
                <w:webHidden/>
              </w:rPr>
            </w:r>
            <w:r w:rsidR="00A53D39">
              <w:rPr>
                <w:webHidden/>
              </w:rPr>
              <w:fldChar w:fldCharType="separate"/>
            </w:r>
            <w:r w:rsidR="00353097">
              <w:rPr>
                <w:webHidden/>
              </w:rPr>
              <w:t>4</w:t>
            </w:r>
            <w:r w:rsidR="00A53D39">
              <w:rPr>
                <w:webHidden/>
              </w:rPr>
              <w:fldChar w:fldCharType="end"/>
            </w:r>
          </w:hyperlink>
        </w:p>
        <w:p w14:paraId="68ECAD22" w14:textId="7207E4A9" w:rsidR="00A53D39" w:rsidRDefault="00852A01">
          <w:pPr>
            <w:pStyle w:val="TOC1"/>
            <w:rPr>
              <w:rFonts w:asciiTheme="minorHAnsi" w:eastAsiaTheme="minorEastAsia" w:hAnsiTheme="minorHAnsi" w:cstheme="minorBidi"/>
              <w:szCs w:val="22"/>
              <w:lang w:val="en-BE" w:eastAsia="en-BE"/>
            </w:rPr>
          </w:pPr>
          <w:hyperlink w:anchor="_Toc117603207" w:history="1">
            <w:r w:rsidR="00A53D39" w:rsidRPr="00340C05">
              <w:rPr>
                <w:rStyle w:val="Hyperlink"/>
              </w:rPr>
              <w:t>A10. Prix</w:t>
            </w:r>
            <w:r w:rsidR="00A53D39">
              <w:rPr>
                <w:webHidden/>
              </w:rPr>
              <w:tab/>
            </w:r>
            <w:r w:rsidR="00A53D39">
              <w:rPr>
                <w:webHidden/>
              </w:rPr>
              <w:fldChar w:fldCharType="begin"/>
            </w:r>
            <w:r w:rsidR="00A53D39">
              <w:rPr>
                <w:webHidden/>
              </w:rPr>
              <w:instrText xml:space="preserve"> PAGEREF _Toc117603207 \h </w:instrText>
            </w:r>
            <w:r w:rsidR="00A53D39">
              <w:rPr>
                <w:webHidden/>
              </w:rPr>
            </w:r>
            <w:r w:rsidR="00A53D39">
              <w:rPr>
                <w:webHidden/>
              </w:rPr>
              <w:fldChar w:fldCharType="separate"/>
            </w:r>
            <w:r w:rsidR="00353097">
              <w:rPr>
                <w:webHidden/>
              </w:rPr>
              <w:t>5</w:t>
            </w:r>
            <w:r w:rsidR="00A53D39">
              <w:rPr>
                <w:webHidden/>
              </w:rPr>
              <w:fldChar w:fldCharType="end"/>
            </w:r>
          </w:hyperlink>
        </w:p>
        <w:p w14:paraId="20021139" w14:textId="1BEB782B" w:rsidR="00A53D39" w:rsidRDefault="00852A01">
          <w:pPr>
            <w:pStyle w:val="TOC1"/>
            <w:rPr>
              <w:rFonts w:asciiTheme="minorHAnsi" w:eastAsiaTheme="minorEastAsia" w:hAnsiTheme="minorHAnsi" w:cstheme="minorBidi"/>
              <w:szCs w:val="22"/>
              <w:lang w:val="en-BE" w:eastAsia="en-BE"/>
            </w:rPr>
          </w:pPr>
          <w:hyperlink w:anchor="_Toc117603210" w:history="1">
            <w:r w:rsidR="00A53D39" w:rsidRPr="00340C05">
              <w:rPr>
                <w:rStyle w:val="Hyperlink"/>
                <w:lang w:val="fr-BE"/>
              </w:rPr>
              <w:t>A11. Sélection – Régularité des offres – Critères d’attribution</w:t>
            </w:r>
            <w:r w:rsidR="00A53D39">
              <w:rPr>
                <w:webHidden/>
              </w:rPr>
              <w:tab/>
            </w:r>
            <w:r w:rsidR="00A53D39">
              <w:rPr>
                <w:webHidden/>
              </w:rPr>
              <w:fldChar w:fldCharType="begin"/>
            </w:r>
            <w:r w:rsidR="00A53D39">
              <w:rPr>
                <w:webHidden/>
              </w:rPr>
              <w:instrText xml:space="preserve"> PAGEREF _Toc117603210 \h </w:instrText>
            </w:r>
            <w:r w:rsidR="00A53D39">
              <w:rPr>
                <w:webHidden/>
              </w:rPr>
            </w:r>
            <w:r w:rsidR="00A53D39">
              <w:rPr>
                <w:webHidden/>
              </w:rPr>
              <w:fldChar w:fldCharType="separate"/>
            </w:r>
            <w:r w:rsidR="00353097">
              <w:rPr>
                <w:webHidden/>
              </w:rPr>
              <w:t>6</w:t>
            </w:r>
            <w:r w:rsidR="00A53D39">
              <w:rPr>
                <w:webHidden/>
              </w:rPr>
              <w:fldChar w:fldCharType="end"/>
            </w:r>
          </w:hyperlink>
        </w:p>
        <w:p w14:paraId="4778756D" w14:textId="14B1519C" w:rsidR="00A53D39" w:rsidRDefault="00852A01">
          <w:pPr>
            <w:pStyle w:val="TOC1"/>
            <w:rPr>
              <w:rFonts w:asciiTheme="minorHAnsi" w:eastAsiaTheme="minorEastAsia" w:hAnsiTheme="minorHAnsi" w:cstheme="minorBidi"/>
              <w:szCs w:val="22"/>
              <w:lang w:val="en-BE" w:eastAsia="en-BE"/>
            </w:rPr>
          </w:pPr>
          <w:hyperlink w:anchor="_Toc117603218" w:history="1">
            <w:r w:rsidR="00A53D39" w:rsidRPr="00340C05">
              <w:rPr>
                <w:rStyle w:val="Hyperlink"/>
                <w:lang w:val="fr-BE"/>
              </w:rPr>
              <w:t>A12. Cautionnement</w:t>
            </w:r>
            <w:r w:rsidR="00A53D39">
              <w:rPr>
                <w:webHidden/>
              </w:rPr>
              <w:tab/>
            </w:r>
            <w:r w:rsidR="00A53D39">
              <w:rPr>
                <w:webHidden/>
              </w:rPr>
              <w:fldChar w:fldCharType="begin"/>
            </w:r>
            <w:r w:rsidR="00A53D39">
              <w:rPr>
                <w:webHidden/>
              </w:rPr>
              <w:instrText xml:space="preserve"> PAGEREF _Toc117603218 \h </w:instrText>
            </w:r>
            <w:r w:rsidR="00A53D39">
              <w:rPr>
                <w:webHidden/>
              </w:rPr>
            </w:r>
            <w:r w:rsidR="00A53D39">
              <w:rPr>
                <w:webHidden/>
              </w:rPr>
              <w:fldChar w:fldCharType="separate"/>
            </w:r>
            <w:r w:rsidR="00353097">
              <w:rPr>
                <w:webHidden/>
              </w:rPr>
              <w:t>11</w:t>
            </w:r>
            <w:r w:rsidR="00A53D39">
              <w:rPr>
                <w:webHidden/>
              </w:rPr>
              <w:fldChar w:fldCharType="end"/>
            </w:r>
          </w:hyperlink>
        </w:p>
        <w:p w14:paraId="733DC4AA" w14:textId="6A7031DC" w:rsidR="00A53D39" w:rsidRDefault="00852A01">
          <w:pPr>
            <w:pStyle w:val="TOC1"/>
            <w:rPr>
              <w:rFonts w:asciiTheme="minorHAnsi" w:eastAsiaTheme="minorEastAsia" w:hAnsiTheme="minorHAnsi" w:cstheme="minorBidi"/>
              <w:szCs w:val="22"/>
              <w:lang w:val="en-BE" w:eastAsia="en-BE"/>
            </w:rPr>
          </w:pPr>
          <w:hyperlink w:anchor="_Toc117603219" w:history="1">
            <w:r w:rsidR="00A53D39" w:rsidRPr="00340C05">
              <w:rPr>
                <w:rStyle w:val="Hyperlink"/>
                <w:lang w:val="fr-BE"/>
              </w:rPr>
              <w:t>A13. Modification en cours d’exécution</w:t>
            </w:r>
            <w:r w:rsidR="00A53D39" w:rsidRPr="00340C05">
              <w:rPr>
                <w:rStyle w:val="Hyperlink"/>
                <w:rFonts w:ascii="Times New Roman" w:hAnsi="Times New Roman" w:cs="Times New Roman"/>
                <w:lang w:val="fr-BE"/>
              </w:rPr>
              <w:t> </w:t>
            </w:r>
            <w:r w:rsidR="00A53D39" w:rsidRPr="00340C05">
              <w:rPr>
                <w:rStyle w:val="Hyperlink"/>
                <w:lang w:val="fr-BE"/>
              </w:rPr>
              <w:t xml:space="preserve"> du march</w:t>
            </w:r>
            <w:r w:rsidR="00A53D39" w:rsidRPr="00340C05">
              <w:rPr>
                <w:rStyle w:val="Hyperlink"/>
                <w:rFonts w:cs="Lora"/>
                <w:lang w:val="fr-BE"/>
              </w:rPr>
              <w:t>é</w:t>
            </w:r>
            <w:r w:rsidR="00A53D39" w:rsidRPr="00340C05">
              <w:rPr>
                <w:rStyle w:val="Hyperlink"/>
                <w:rFonts w:ascii="Times New Roman" w:hAnsi="Times New Roman" w:cs="Times New Roman"/>
                <w:lang w:val="fr-BE"/>
              </w:rPr>
              <w:t> </w:t>
            </w:r>
            <w:r w:rsidR="00A53D39">
              <w:rPr>
                <w:webHidden/>
              </w:rPr>
              <w:tab/>
            </w:r>
            <w:r w:rsidR="00A53D39">
              <w:rPr>
                <w:webHidden/>
              </w:rPr>
              <w:fldChar w:fldCharType="begin"/>
            </w:r>
            <w:r w:rsidR="00A53D39">
              <w:rPr>
                <w:webHidden/>
              </w:rPr>
              <w:instrText xml:space="preserve"> PAGEREF _Toc117603219 \h </w:instrText>
            </w:r>
            <w:r w:rsidR="00A53D39">
              <w:rPr>
                <w:webHidden/>
              </w:rPr>
            </w:r>
            <w:r w:rsidR="00A53D39">
              <w:rPr>
                <w:webHidden/>
              </w:rPr>
              <w:fldChar w:fldCharType="separate"/>
            </w:r>
            <w:r w:rsidR="00353097">
              <w:rPr>
                <w:webHidden/>
              </w:rPr>
              <w:t>12</w:t>
            </w:r>
            <w:r w:rsidR="00A53D39">
              <w:rPr>
                <w:webHidden/>
              </w:rPr>
              <w:fldChar w:fldCharType="end"/>
            </w:r>
          </w:hyperlink>
        </w:p>
        <w:p w14:paraId="194CEFD3" w14:textId="41FDB820" w:rsidR="00A53D39" w:rsidRDefault="00852A01">
          <w:pPr>
            <w:pStyle w:val="TOC1"/>
            <w:rPr>
              <w:rFonts w:asciiTheme="minorHAnsi" w:eastAsiaTheme="minorEastAsia" w:hAnsiTheme="minorHAnsi" w:cstheme="minorBidi"/>
              <w:szCs w:val="22"/>
              <w:lang w:val="en-BE" w:eastAsia="en-BE"/>
            </w:rPr>
          </w:pPr>
          <w:hyperlink w:anchor="_Toc117603231" w:history="1">
            <w:r w:rsidR="00A53D39" w:rsidRPr="00340C05">
              <w:rPr>
                <w:rStyle w:val="Hyperlink"/>
              </w:rPr>
              <w:t>A14. Exécution des services</w:t>
            </w:r>
            <w:r w:rsidR="00A53D39" w:rsidRPr="00340C05">
              <w:rPr>
                <w:rStyle w:val="Hyperlink"/>
                <w:rFonts w:ascii="Times New Roman" w:hAnsi="Times New Roman" w:cs="Times New Roman"/>
              </w:rPr>
              <w:t> </w:t>
            </w:r>
            <w:r w:rsidR="00A53D39">
              <w:rPr>
                <w:webHidden/>
              </w:rPr>
              <w:tab/>
            </w:r>
            <w:r w:rsidR="00A53D39">
              <w:rPr>
                <w:webHidden/>
              </w:rPr>
              <w:fldChar w:fldCharType="begin"/>
            </w:r>
            <w:r w:rsidR="00A53D39">
              <w:rPr>
                <w:webHidden/>
              </w:rPr>
              <w:instrText xml:space="preserve"> PAGEREF _Toc117603231 \h </w:instrText>
            </w:r>
            <w:r w:rsidR="00A53D39">
              <w:rPr>
                <w:webHidden/>
              </w:rPr>
            </w:r>
            <w:r w:rsidR="00A53D39">
              <w:rPr>
                <w:webHidden/>
              </w:rPr>
              <w:fldChar w:fldCharType="separate"/>
            </w:r>
            <w:r w:rsidR="00353097">
              <w:rPr>
                <w:webHidden/>
              </w:rPr>
              <w:t>16</w:t>
            </w:r>
            <w:r w:rsidR="00A53D39">
              <w:rPr>
                <w:webHidden/>
              </w:rPr>
              <w:fldChar w:fldCharType="end"/>
            </w:r>
          </w:hyperlink>
        </w:p>
        <w:p w14:paraId="678D6C7C" w14:textId="78F9058E" w:rsidR="00A53D39" w:rsidRDefault="00852A01">
          <w:pPr>
            <w:pStyle w:val="TOC1"/>
            <w:rPr>
              <w:rFonts w:asciiTheme="minorHAnsi" w:eastAsiaTheme="minorEastAsia" w:hAnsiTheme="minorHAnsi" w:cstheme="minorBidi"/>
              <w:szCs w:val="22"/>
              <w:lang w:val="en-BE" w:eastAsia="en-BE"/>
            </w:rPr>
          </w:pPr>
          <w:hyperlink w:anchor="_Toc117603236" w:history="1">
            <w:r w:rsidR="00A53D39" w:rsidRPr="00340C05">
              <w:rPr>
                <w:rStyle w:val="Hyperlink"/>
              </w:rPr>
              <w:t>A15. Suivi – Accompagnement</w:t>
            </w:r>
            <w:r w:rsidR="00A53D39" w:rsidRPr="00340C05">
              <w:rPr>
                <w:rStyle w:val="Hyperlink"/>
                <w:rFonts w:ascii="Times New Roman" w:hAnsi="Times New Roman" w:cs="Times New Roman"/>
              </w:rPr>
              <w:t> </w:t>
            </w:r>
            <w:r w:rsidR="00A53D39">
              <w:rPr>
                <w:webHidden/>
              </w:rPr>
              <w:tab/>
            </w:r>
            <w:r w:rsidR="00A53D39">
              <w:rPr>
                <w:webHidden/>
              </w:rPr>
              <w:fldChar w:fldCharType="begin"/>
            </w:r>
            <w:r w:rsidR="00A53D39">
              <w:rPr>
                <w:webHidden/>
              </w:rPr>
              <w:instrText xml:space="preserve"> PAGEREF _Toc117603236 \h </w:instrText>
            </w:r>
            <w:r w:rsidR="00A53D39">
              <w:rPr>
                <w:webHidden/>
              </w:rPr>
            </w:r>
            <w:r w:rsidR="00A53D39">
              <w:rPr>
                <w:webHidden/>
              </w:rPr>
              <w:fldChar w:fldCharType="separate"/>
            </w:r>
            <w:r w:rsidR="00353097">
              <w:rPr>
                <w:webHidden/>
              </w:rPr>
              <w:t>17</w:t>
            </w:r>
            <w:r w:rsidR="00A53D39">
              <w:rPr>
                <w:webHidden/>
              </w:rPr>
              <w:fldChar w:fldCharType="end"/>
            </w:r>
          </w:hyperlink>
        </w:p>
        <w:p w14:paraId="51371959" w14:textId="18E3B739" w:rsidR="00A53D39" w:rsidRDefault="00852A01">
          <w:pPr>
            <w:pStyle w:val="TOC1"/>
            <w:rPr>
              <w:rFonts w:asciiTheme="minorHAnsi" w:eastAsiaTheme="minorEastAsia" w:hAnsiTheme="minorHAnsi" w:cstheme="minorBidi"/>
              <w:szCs w:val="22"/>
              <w:lang w:val="en-BE" w:eastAsia="en-BE"/>
            </w:rPr>
          </w:pPr>
          <w:hyperlink w:anchor="_Toc117603239" w:history="1">
            <w:r w:rsidR="00A53D39" w:rsidRPr="00340C05">
              <w:rPr>
                <w:rStyle w:val="Hyperlink"/>
                <w:lang w:val="fr-BE"/>
              </w:rPr>
              <w:t>A16. Facturation et paiement</w:t>
            </w:r>
            <w:r w:rsidR="00A53D39" w:rsidRPr="00340C05">
              <w:rPr>
                <w:rStyle w:val="Hyperlink"/>
                <w:rFonts w:ascii="Times New Roman" w:hAnsi="Times New Roman" w:cs="Times New Roman"/>
                <w:lang w:val="fr-BE"/>
              </w:rPr>
              <w:t> </w:t>
            </w:r>
            <w:r w:rsidR="00A53D39">
              <w:rPr>
                <w:webHidden/>
              </w:rPr>
              <w:tab/>
            </w:r>
            <w:r w:rsidR="00A53D39">
              <w:rPr>
                <w:webHidden/>
              </w:rPr>
              <w:fldChar w:fldCharType="begin"/>
            </w:r>
            <w:r w:rsidR="00A53D39">
              <w:rPr>
                <w:webHidden/>
              </w:rPr>
              <w:instrText xml:space="preserve"> PAGEREF _Toc117603239 \h </w:instrText>
            </w:r>
            <w:r w:rsidR="00A53D39">
              <w:rPr>
                <w:webHidden/>
              </w:rPr>
            </w:r>
            <w:r w:rsidR="00A53D39">
              <w:rPr>
                <w:webHidden/>
              </w:rPr>
              <w:fldChar w:fldCharType="separate"/>
            </w:r>
            <w:r w:rsidR="00353097">
              <w:rPr>
                <w:webHidden/>
              </w:rPr>
              <w:t>18</w:t>
            </w:r>
            <w:r w:rsidR="00A53D39">
              <w:rPr>
                <w:webHidden/>
              </w:rPr>
              <w:fldChar w:fldCharType="end"/>
            </w:r>
          </w:hyperlink>
        </w:p>
        <w:p w14:paraId="70F56911" w14:textId="4D99D294" w:rsidR="00A53D39" w:rsidRDefault="00852A01">
          <w:pPr>
            <w:pStyle w:val="TOC1"/>
            <w:rPr>
              <w:rFonts w:asciiTheme="minorHAnsi" w:eastAsiaTheme="minorEastAsia" w:hAnsiTheme="minorHAnsi" w:cstheme="minorBidi"/>
              <w:szCs w:val="22"/>
              <w:lang w:val="en-BE" w:eastAsia="en-BE"/>
            </w:rPr>
          </w:pPr>
          <w:hyperlink w:anchor="_Toc117603241" w:history="1">
            <w:r w:rsidR="00A53D39" w:rsidRPr="00340C05">
              <w:rPr>
                <w:rStyle w:val="Hyperlink"/>
              </w:rPr>
              <w:t>A17. Responsabilité de l’adjudicataire</w:t>
            </w:r>
            <w:r w:rsidR="00A53D39">
              <w:rPr>
                <w:webHidden/>
              </w:rPr>
              <w:tab/>
            </w:r>
            <w:r w:rsidR="00A53D39">
              <w:rPr>
                <w:webHidden/>
              </w:rPr>
              <w:fldChar w:fldCharType="begin"/>
            </w:r>
            <w:r w:rsidR="00A53D39">
              <w:rPr>
                <w:webHidden/>
              </w:rPr>
              <w:instrText xml:space="preserve"> PAGEREF _Toc117603241 \h </w:instrText>
            </w:r>
            <w:r w:rsidR="00A53D39">
              <w:rPr>
                <w:webHidden/>
              </w:rPr>
            </w:r>
            <w:r w:rsidR="00A53D39">
              <w:rPr>
                <w:webHidden/>
              </w:rPr>
              <w:fldChar w:fldCharType="separate"/>
            </w:r>
            <w:r w:rsidR="00353097">
              <w:rPr>
                <w:webHidden/>
              </w:rPr>
              <w:t>20</w:t>
            </w:r>
            <w:r w:rsidR="00A53D39">
              <w:rPr>
                <w:webHidden/>
              </w:rPr>
              <w:fldChar w:fldCharType="end"/>
            </w:r>
          </w:hyperlink>
        </w:p>
        <w:p w14:paraId="2F6AC5AD" w14:textId="564CF241" w:rsidR="00A53D39" w:rsidRDefault="00852A01">
          <w:pPr>
            <w:pStyle w:val="TOC1"/>
            <w:rPr>
              <w:rFonts w:asciiTheme="minorHAnsi" w:eastAsiaTheme="minorEastAsia" w:hAnsiTheme="minorHAnsi" w:cstheme="minorBidi"/>
              <w:szCs w:val="22"/>
              <w:lang w:val="en-BE" w:eastAsia="en-BE"/>
            </w:rPr>
          </w:pPr>
          <w:hyperlink w:anchor="_Toc117603244" w:history="1">
            <w:r w:rsidR="00A53D39" w:rsidRPr="00340C05">
              <w:rPr>
                <w:rStyle w:val="Hyperlink"/>
                <w:lang w:val="fr-BE"/>
              </w:rPr>
              <w:t>A18. Protection des données à caractère personnel et de la vie privée</w:t>
            </w:r>
            <w:r w:rsidR="00A53D39">
              <w:rPr>
                <w:webHidden/>
              </w:rPr>
              <w:tab/>
            </w:r>
            <w:r w:rsidR="00A53D39">
              <w:rPr>
                <w:webHidden/>
              </w:rPr>
              <w:fldChar w:fldCharType="begin"/>
            </w:r>
            <w:r w:rsidR="00A53D39">
              <w:rPr>
                <w:webHidden/>
              </w:rPr>
              <w:instrText xml:space="preserve"> PAGEREF _Toc117603244 \h </w:instrText>
            </w:r>
            <w:r w:rsidR="00A53D39">
              <w:rPr>
                <w:webHidden/>
              </w:rPr>
            </w:r>
            <w:r w:rsidR="00A53D39">
              <w:rPr>
                <w:webHidden/>
              </w:rPr>
              <w:fldChar w:fldCharType="separate"/>
            </w:r>
            <w:r w:rsidR="00353097">
              <w:rPr>
                <w:webHidden/>
              </w:rPr>
              <w:t>20</w:t>
            </w:r>
            <w:r w:rsidR="00A53D39">
              <w:rPr>
                <w:webHidden/>
              </w:rPr>
              <w:fldChar w:fldCharType="end"/>
            </w:r>
          </w:hyperlink>
        </w:p>
        <w:p w14:paraId="2E2E43E8" w14:textId="6E21362B" w:rsidR="00A53D39" w:rsidRDefault="00852A01">
          <w:pPr>
            <w:pStyle w:val="TOC1"/>
            <w:rPr>
              <w:rFonts w:asciiTheme="minorHAnsi" w:eastAsiaTheme="minorEastAsia" w:hAnsiTheme="minorHAnsi" w:cstheme="minorBidi"/>
              <w:szCs w:val="22"/>
              <w:lang w:val="en-BE" w:eastAsia="en-BE"/>
            </w:rPr>
          </w:pPr>
          <w:hyperlink w:anchor="_Toc117603245" w:history="1">
            <w:r w:rsidR="00A53D39" w:rsidRPr="00340C05">
              <w:rPr>
                <w:rStyle w:val="Hyperlink"/>
                <w:lang w:val="fr-BE"/>
              </w:rPr>
              <w:t>A19. Litiges</w:t>
            </w:r>
            <w:r w:rsidR="00A53D39">
              <w:rPr>
                <w:webHidden/>
              </w:rPr>
              <w:tab/>
            </w:r>
            <w:r w:rsidR="00A53D39">
              <w:rPr>
                <w:webHidden/>
              </w:rPr>
              <w:fldChar w:fldCharType="begin"/>
            </w:r>
            <w:r w:rsidR="00A53D39">
              <w:rPr>
                <w:webHidden/>
              </w:rPr>
              <w:instrText xml:space="preserve"> PAGEREF _Toc117603245 \h </w:instrText>
            </w:r>
            <w:r w:rsidR="00A53D39">
              <w:rPr>
                <w:webHidden/>
              </w:rPr>
            </w:r>
            <w:r w:rsidR="00A53D39">
              <w:rPr>
                <w:webHidden/>
              </w:rPr>
              <w:fldChar w:fldCharType="separate"/>
            </w:r>
            <w:r w:rsidR="00353097">
              <w:rPr>
                <w:webHidden/>
              </w:rPr>
              <w:t>21</w:t>
            </w:r>
            <w:r w:rsidR="00A53D39">
              <w:rPr>
                <w:webHidden/>
              </w:rPr>
              <w:fldChar w:fldCharType="end"/>
            </w:r>
          </w:hyperlink>
        </w:p>
        <w:p w14:paraId="3FEFEEC0" w14:textId="1A24ECB7" w:rsidR="00A53D39" w:rsidRDefault="00852A01">
          <w:pPr>
            <w:pStyle w:val="TOC1"/>
            <w:rPr>
              <w:rFonts w:asciiTheme="minorHAnsi" w:eastAsiaTheme="minorEastAsia" w:hAnsiTheme="minorHAnsi" w:cstheme="minorBidi"/>
              <w:szCs w:val="22"/>
              <w:lang w:val="en-BE" w:eastAsia="en-BE"/>
            </w:rPr>
          </w:pPr>
          <w:hyperlink w:anchor="_Toc117603246" w:history="1">
            <w:r w:rsidR="00A53D39" w:rsidRPr="00340C05">
              <w:rPr>
                <w:rStyle w:val="Hyperlink"/>
                <w:lang w:val="fr-BE"/>
              </w:rPr>
              <w:t>B. PRESCRIPTIONS TECHNIQUES</w:t>
            </w:r>
            <w:r w:rsidR="00A53D39">
              <w:rPr>
                <w:webHidden/>
              </w:rPr>
              <w:tab/>
            </w:r>
            <w:r w:rsidR="00A53D39">
              <w:rPr>
                <w:webHidden/>
              </w:rPr>
              <w:fldChar w:fldCharType="begin"/>
            </w:r>
            <w:r w:rsidR="00A53D39">
              <w:rPr>
                <w:webHidden/>
              </w:rPr>
              <w:instrText xml:space="preserve"> PAGEREF _Toc117603246 \h </w:instrText>
            </w:r>
            <w:r w:rsidR="00A53D39">
              <w:rPr>
                <w:webHidden/>
              </w:rPr>
            </w:r>
            <w:r w:rsidR="00A53D39">
              <w:rPr>
                <w:webHidden/>
              </w:rPr>
              <w:fldChar w:fldCharType="separate"/>
            </w:r>
            <w:r w:rsidR="00353097">
              <w:rPr>
                <w:webHidden/>
              </w:rPr>
              <w:t>22</w:t>
            </w:r>
            <w:r w:rsidR="00A53D39">
              <w:rPr>
                <w:webHidden/>
              </w:rPr>
              <w:fldChar w:fldCharType="end"/>
            </w:r>
          </w:hyperlink>
        </w:p>
        <w:p w14:paraId="72A722EC" w14:textId="4A0B3E03" w:rsidR="00A53D39" w:rsidRDefault="00852A01">
          <w:pPr>
            <w:pStyle w:val="TOC1"/>
            <w:rPr>
              <w:rFonts w:asciiTheme="minorHAnsi" w:eastAsiaTheme="minorEastAsia" w:hAnsiTheme="minorHAnsi" w:cstheme="minorBidi"/>
              <w:szCs w:val="22"/>
              <w:lang w:val="en-BE" w:eastAsia="en-BE"/>
            </w:rPr>
          </w:pPr>
          <w:hyperlink w:anchor="_Toc117603247" w:history="1">
            <w:r w:rsidR="00A53D39" w:rsidRPr="00340C05">
              <w:rPr>
                <w:rStyle w:val="Hyperlink"/>
                <w:lang w:val="fr-BE"/>
              </w:rPr>
              <w:t>B1. Introduction</w:t>
            </w:r>
            <w:r w:rsidR="00A53D39">
              <w:rPr>
                <w:webHidden/>
              </w:rPr>
              <w:tab/>
            </w:r>
            <w:r w:rsidR="00A53D39">
              <w:rPr>
                <w:webHidden/>
              </w:rPr>
              <w:fldChar w:fldCharType="begin"/>
            </w:r>
            <w:r w:rsidR="00A53D39">
              <w:rPr>
                <w:webHidden/>
              </w:rPr>
              <w:instrText xml:space="preserve"> PAGEREF _Toc117603247 \h </w:instrText>
            </w:r>
            <w:r w:rsidR="00A53D39">
              <w:rPr>
                <w:webHidden/>
              </w:rPr>
            </w:r>
            <w:r w:rsidR="00A53D39">
              <w:rPr>
                <w:webHidden/>
              </w:rPr>
              <w:fldChar w:fldCharType="separate"/>
            </w:r>
            <w:r w:rsidR="00353097">
              <w:rPr>
                <w:webHidden/>
              </w:rPr>
              <w:t>22</w:t>
            </w:r>
            <w:r w:rsidR="00A53D39">
              <w:rPr>
                <w:webHidden/>
              </w:rPr>
              <w:fldChar w:fldCharType="end"/>
            </w:r>
          </w:hyperlink>
        </w:p>
        <w:p w14:paraId="10F3BC83" w14:textId="1B599574" w:rsidR="00A53D39" w:rsidRDefault="00852A01">
          <w:pPr>
            <w:pStyle w:val="TOC1"/>
            <w:rPr>
              <w:rFonts w:asciiTheme="minorHAnsi" w:eastAsiaTheme="minorEastAsia" w:hAnsiTheme="minorHAnsi" w:cstheme="minorBidi"/>
              <w:szCs w:val="22"/>
              <w:lang w:val="en-BE" w:eastAsia="en-BE"/>
            </w:rPr>
          </w:pPr>
          <w:hyperlink w:anchor="_Toc117603248" w:history="1">
            <w:r w:rsidR="00A53D39" w:rsidRPr="00340C05">
              <w:rPr>
                <w:rStyle w:val="Hyperlink"/>
              </w:rPr>
              <w:t>B2. Contexte institutionnel</w:t>
            </w:r>
            <w:r w:rsidR="00A53D39">
              <w:rPr>
                <w:webHidden/>
              </w:rPr>
              <w:tab/>
            </w:r>
            <w:r w:rsidR="00A53D39">
              <w:rPr>
                <w:webHidden/>
              </w:rPr>
              <w:fldChar w:fldCharType="begin"/>
            </w:r>
            <w:r w:rsidR="00A53D39">
              <w:rPr>
                <w:webHidden/>
              </w:rPr>
              <w:instrText xml:space="preserve"> PAGEREF _Toc117603248 \h </w:instrText>
            </w:r>
            <w:r w:rsidR="00A53D39">
              <w:rPr>
                <w:webHidden/>
              </w:rPr>
            </w:r>
            <w:r w:rsidR="00A53D39">
              <w:rPr>
                <w:webHidden/>
              </w:rPr>
              <w:fldChar w:fldCharType="separate"/>
            </w:r>
            <w:r w:rsidR="00353097">
              <w:rPr>
                <w:webHidden/>
              </w:rPr>
              <w:t>22</w:t>
            </w:r>
            <w:r w:rsidR="00A53D39">
              <w:rPr>
                <w:webHidden/>
              </w:rPr>
              <w:fldChar w:fldCharType="end"/>
            </w:r>
          </w:hyperlink>
        </w:p>
        <w:p w14:paraId="10A81AE3" w14:textId="3447B468" w:rsidR="00A53D39" w:rsidRDefault="00852A01">
          <w:pPr>
            <w:pStyle w:val="TOC1"/>
            <w:rPr>
              <w:rFonts w:asciiTheme="minorHAnsi" w:eastAsiaTheme="minorEastAsia" w:hAnsiTheme="minorHAnsi" w:cstheme="minorBidi"/>
              <w:szCs w:val="22"/>
              <w:lang w:val="en-BE" w:eastAsia="en-BE"/>
            </w:rPr>
          </w:pPr>
          <w:hyperlink w:anchor="_Toc117603252" w:history="1">
            <w:r w:rsidR="00A53D39" w:rsidRPr="00340C05">
              <w:rPr>
                <w:rStyle w:val="Hyperlink"/>
                <w:lang w:val="fr-BE"/>
              </w:rPr>
              <w:t>B3. Motifs</w:t>
            </w:r>
            <w:r w:rsidR="00A53D39">
              <w:rPr>
                <w:webHidden/>
              </w:rPr>
              <w:tab/>
            </w:r>
            <w:r w:rsidR="00A53D39">
              <w:rPr>
                <w:webHidden/>
              </w:rPr>
              <w:fldChar w:fldCharType="begin"/>
            </w:r>
            <w:r w:rsidR="00A53D39">
              <w:rPr>
                <w:webHidden/>
              </w:rPr>
              <w:instrText xml:space="preserve"> PAGEREF _Toc117603252 \h </w:instrText>
            </w:r>
            <w:r w:rsidR="00A53D39">
              <w:rPr>
                <w:webHidden/>
              </w:rPr>
            </w:r>
            <w:r w:rsidR="00A53D39">
              <w:rPr>
                <w:webHidden/>
              </w:rPr>
              <w:fldChar w:fldCharType="separate"/>
            </w:r>
            <w:r w:rsidR="00353097">
              <w:rPr>
                <w:webHidden/>
              </w:rPr>
              <w:t>25</w:t>
            </w:r>
            <w:r w:rsidR="00A53D39">
              <w:rPr>
                <w:webHidden/>
              </w:rPr>
              <w:fldChar w:fldCharType="end"/>
            </w:r>
          </w:hyperlink>
        </w:p>
        <w:p w14:paraId="1C1C4345" w14:textId="73EFBA45" w:rsidR="00A53D39" w:rsidRDefault="00852A01">
          <w:pPr>
            <w:pStyle w:val="TOC1"/>
            <w:rPr>
              <w:rFonts w:asciiTheme="minorHAnsi" w:eastAsiaTheme="minorEastAsia" w:hAnsiTheme="minorHAnsi" w:cstheme="minorBidi"/>
              <w:szCs w:val="22"/>
              <w:lang w:val="en-BE" w:eastAsia="en-BE"/>
            </w:rPr>
          </w:pPr>
          <w:hyperlink w:anchor="_Toc117603253" w:history="1">
            <w:r w:rsidR="00A53D39" w:rsidRPr="00340C05">
              <w:rPr>
                <w:rStyle w:val="Hyperlink"/>
                <w:lang w:val="fr-BE"/>
              </w:rPr>
              <w:t>B4. Objectif et résultats attendus</w:t>
            </w:r>
            <w:r w:rsidR="00A53D39">
              <w:rPr>
                <w:webHidden/>
              </w:rPr>
              <w:tab/>
            </w:r>
            <w:r w:rsidR="00A53D39">
              <w:rPr>
                <w:webHidden/>
              </w:rPr>
              <w:fldChar w:fldCharType="begin"/>
            </w:r>
            <w:r w:rsidR="00A53D39">
              <w:rPr>
                <w:webHidden/>
              </w:rPr>
              <w:instrText xml:space="preserve"> PAGEREF _Toc117603253 \h </w:instrText>
            </w:r>
            <w:r w:rsidR="00A53D39">
              <w:rPr>
                <w:webHidden/>
              </w:rPr>
            </w:r>
            <w:r w:rsidR="00A53D39">
              <w:rPr>
                <w:webHidden/>
              </w:rPr>
              <w:fldChar w:fldCharType="separate"/>
            </w:r>
            <w:r w:rsidR="00353097">
              <w:rPr>
                <w:webHidden/>
              </w:rPr>
              <w:t>26</w:t>
            </w:r>
            <w:r w:rsidR="00A53D39">
              <w:rPr>
                <w:webHidden/>
              </w:rPr>
              <w:fldChar w:fldCharType="end"/>
            </w:r>
          </w:hyperlink>
        </w:p>
        <w:p w14:paraId="1BE339D9" w14:textId="300D1029" w:rsidR="00A53D39" w:rsidRDefault="00852A01">
          <w:pPr>
            <w:pStyle w:val="TOC1"/>
            <w:rPr>
              <w:rFonts w:asciiTheme="minorHAnsi" w:eastAsiaTheme="minorEastAsia" w:hAnsiTheme="minorHAnsi" w:cstheme="minorBidi"/>
              <w:szCs w:val="22"/>
              <w:lang w:val="en-BE" w:eastAsia="en-BE"/>
            </w:rPr>
          </w:pPr>
          <w:hyperlink w:anchor="_Toc117603256" w:history="1">
            <w:r w:rsidR="00A53D39" w:rsidRPr="00340C05">
              <w:rPr>
                <w:rStyle w:val="Hyperlink"/>
              </w:rPr>
              <w:t>B5. Champ et échantillon</w:t>
            </w:r>
            <w:r w:rsidR="00A53D39">
              <w:rPr>
                <w:webHidden/>
              </w:rPr>
              <w:tab/>
            </w:r>
            <w:r w:rsidR="00A53D39">
              <w:rPr>
                <w:webHidden/>
              </w:rPr>
              <w:fldChar w:fldCharType="begin"/>
            </w:r>
            <w:r w:rsidR="00A53D39">
              <w:rPr>
                <w:webHidden/>
              </w:rPr>
              <w:instrText xml:space="preserve"> PAGEREF _Toc117603256 \h </w:instrText>
            </w:r>
            <w:r w:rsidR="00A53D39">
              <w:rPr>
                <w:webHidden/>
              </w:rPr>
            </w:r>
            <w:r w:rsidR="00A53D39">
              <w:rPr>
                <w:webHidden/>
              </w:rPr>
              <w:fldChar w:fldCharType="separate"/>
            </w:r>
            <w:r w:rsidR="00353097">
              <w:rPr>
                <w:webHidden/>
              </w:rPr>
              <w:t>26</w:t>
            </w:r>
            <w:r w:rsidR="00A53D39">
              <w:rPr>
                <w:webHidden/>
              </w:rPr>
              <w:fldChar w:fldCharType="end"/>
            </w:r>
          </w:hyperlink>
        </w:p>
        <w:p w14:paraId="62B2A17E" w14:textId="10C98000" w:rsidR="00A53D39" w:rsidRDefault="00852A01">
          <w:pPr>
            <w:pStyle w:val="TOC1"/>
            <w:rPr>
              <w:rFonts w:asciiTheme="minorHAnsi" w:eastAsiaTheme="minorEastAsia" w:hAnsiTheme="minorHAnsi" w:cstheme="minorBidi"/>
              <w:szCs w:val="22"/>
              <w:lang w:val="en-BE" w:eastAsia="en-BE"/>
            </w:rPr>
          </w:pPr>
          <w:hyperlink w:anchor="_Toc117603259" w:history="1">
            <w:r w:rsidR="00A53D39" w:rsidRPr="00340C05">
              <w:rPr>
                <w:rStyle w:val="Hyperlink"/>
                <w:lang w:val="fr-BE"/>
              </w:rPr>
              <w:t>B6. Questions d’évaluation</w:t>
            </w:r>
            <w:r w:rsidR="00A53D39">
              <w:rPr>
                <w:webHidden/>
              </w:rPr>
              <w:tab/>
            </w:r>
            <w:r w:rsidR="00A53D39">
              <w:rPr>
                <w:webHidden/>
              </w:rPr>
              <w:fldChar w:fldCharType="begin"/>
            </w:r>
            <w:r w:rsidR="00A53D39">
              <w:rPr>
                <w:webHidden/>
              </w:rPr>
              <w:instrText xml:space="preserve"> PAGEREF _Toc117603259 \h </w:instrText>
            </w:r>
            <w:r w:rsidR="00A53D39">
              <w:rPr>
                <w:webHidden/>
              </w:rPr>
            </w:r>
            <w:r w:rsidR="00A53D39">
              <w:rPr>
                <w:webHidden/>
              </w:rPr>
              <w:fldChar w:fldCharType="separate"/>
            </w:r>
            <w:r w:rsidR="00353097">
              <w:rPr>
                <w:webHidden/>
              </w:rPr>
              <w:t>28</w:t>
            </w:r>
            <w:r w:rsidR="00A53D39">
              <w:rPr>
                <w:webHidden/>
              </w:rPr>
              <w:fldChar w:fldCharType="end"/>
            </w:r>
          </w:hyperlink>
        </w:p>
        <w:p w14:paraId="3A036C99" w14:textId="42E410C8" w:rsidR="00A53D39" w:rsidRDefault="00852A01">
          <w:pPr>
            <w:pStyle w:val="TOC1"/>
            <w:rPr>
              <w:rFonts w:asciiTheme="minorHAnsi" w:eastAsiaTheme="minorEastAsia" w:hAnsiTheme="minorHAnsi" w:cstheme="minorBidi"/>
              <w:szCs w:val="22"/>
              <w:lang w:val="en-BE" w:eastAsia="en-BE"/>
            </w:rPr>
          </w:pPr>
          <w:hyperlink w:anchor="_Toc117603262" w:history="1">
            <w:r w:rsidR="00A53D39" w:rsidRPr="00340C05">
              <w:rPr>
                <w:rStyle w:val="Hyperlink"/>
                <w:lang w:val="fr-BE"/>
              </w:rPr>
              <w:t>B7. Approche et déroulement</w:t>
            </w:r>
            <w:r w:rsidR="00A53D39">
              <w:rPr>
                <w:webHidden/>
              </w:rPr>
              <w:tab/>
            </w:r>
            <w:r w:rsidR="00A53D39">
              <w:rPr>
                <w:webHidden/>
              </w:rPr>
              <w:fldChar w:fldCharType="begin"/>
            </w:r>
            <w:r w:rsidR="00A53D39">
              <w:rPr>
                <w:webHidden/>
              </w:rPr>
              <w:instrText xml:space="preserve"> PAGEREF _Toc117603262 \h </w:instrText>
            </w:r>
            <w:r w:rsidR="00A53D39">
              <w:rPr>
                <w:webHidden/>
              </w:rPr>
            </w:r>
            <w:r w:rsidR="00A53D39">
              <w:rPr>
                <w:webHidden/>
              </w:rPr>
              <w:fldChar w:fldCharType="separate"/>
            </w:r>
            <w:r w:rsidR="00353097">
              <w:rPr>
                <w:webHidden/>
              </w:rPr>
              <w:t>29</w:t>
            </w:r>
            <w:r w:rsidR="00A53D39">
              <w:rPr>
                <w:webHidden/>
              </w:rPr>
              <w:fldChar w:fldCharType="end"/>
            </w:r>
          </w:hyperlink>
        </w:p>
        <w:p w14:paraId="76CA33B5" w14:textId="2B2AA342" w:rsidR="00A53D39" w:rsidRDefault="00852A01">
          <w:pPr>
            <w:pStyle w:val="TOC1"/>
            <w:rPr>
              <w:rFonts w:asciiTheme="minorHAnsi" w:eastAsiaTheme="minorEastAsia" w:hAnsiTheme="minorHAnsi" w:cstheme="minorBidi"/>
              <w:szCs w:val="22"/>
              <w:lang w:val="en-BE" w:eastAsia="en-BE"/>
            </w:rPr>
          </w:pPr>
          <w:hyperlink w:anchor="_Toc117603268" w:history="1">
            <w:r w:rsidR="00A53D39" w:rsidRPr="00340C05">
              <w:rPr>
                <w:rStyle w:val="Hyperlink"/>
                <w:lang w:val="fr-BE"/>
              </w:rPr>
              <w:t>B8. Calendrier</w:t>
            </w:r>
            <w:r w:rsidR="00A53D39">
              <w:rPr>
                <w:webHidden/>
              </w:rPr>
              <w:tab/>
            </w:r>
            <w:r w:rsidR="00A53D39">
              <w:rPr>
                <w:webHidden/>
              </w:rPr>
              <w:fldChar w:fldCharType="begin"/>
            </w:r>
            <w:r w:rsidR="00A53D39">
              <w:rPr>
                <w:webHidden/>
              </w:rPr>
              <w:instrText xml:space="preserve"> PAGEREF _Toc117603268 \h </w:instrText>
            </w:r>
            <w:r w:rsidR="00A53D39">
              <w:rPr>
                <w:webHidden/>
              </w:rPr>
            </w:r>
            <w:r w:rsidR="00A53D39">
              <w:rPr>
                <w:webHidden/>
              </w:rPr>
              <w:fldChar w:fldCharType="separate"/>
            </w:r>
            <w:r w:rsidR="00353097">
              <w:rPr>
                <w:webHidden/>
              </w:rPr>
              <w:t>31</w:t>
            </w:r>
            <w:r w:rsidR="00A53D39">
              <w:rPr>
                <w:webHidden/>
              </w:rPr>
              <w:fldChar w:fldCharType="end"/>
            </w:r>
          </w:hyperlink>
        </w:p>
        <w:p w14:paraId="462EAE60" w14:textId="49ECBA09" w:rsidR="00A53D39" w:rsidRDefault="00852A01">
          <w:pPr>
            <w:pStyle w:val="TOC1"/>
            <w:rPr>
              <w:rFonts w:asciiTheme="minorHAnsi" w:eastAsiaTheme="minorEastAsia" w:hAnsiTheme="minorHAnsi" w:cstheme="minorBidi"/>
              <w:szCs w:val="22"/>
              <w:lang w:val="en-BE" w:eastAsia="en-BE"/>
            </w:rPr>
          </w:pPr>
          <w:hyperlink w:anchor="_Toc117603269" w:history="1">
            <w:r w:rsidR="00A53D39" w:rsidRPr="00340C05">
              <w:rPr>
                <w:rStyle w:val="Hyperlink"/>
                <w:lang w:val="fr-BE"/>
              </w:rPr>
              <w:t>B.9 Rôles et responsabilités de l'équipe d'évaluation</w:t>
            </w:r>
            <w:r w:rsidR="00A53D39">
              <w:rPr>
                <w:webHidden/>
              </w:rPr>
              <w:tab/>
            </w:r>
            <w:r w:rsidR="00A53D39">
              <w:rPr>
                <w:webHidden/>
              </w:rPr>
              <w:fldChar w:fldCharType="begin"/>
            </w:r>
            <w:r w:rsidR="00A53D39">
              <w:rPr>
                <w:webHidden/>
              </w:rPr>
              <w:instrText xml:space="preserve"> PAGEREF _Toc117603269 \h </w:instrText>
            </w:r>
            <w:r w:rsidR="00A53D39">
              <w:rPr>
                <w:webHidden/>
              </w:rPr>
            </w:r>
            <w:r w:rsidR="00A53D39">
              <w:rPr>
                <w:webHidden/>
              </w:rPr>
              <w:fldChar w:fldCharType="separate"/>
            </w:r>
            <w:r w:rsidR="00353097">
              <w:rPr>
                <w:webHidden/>
              </w:rPr>
              <w:t>31</w:t>
            </w:r>
            <w:r w:rsidR="00A53D39">
              <w:rPr>
                <w:webHidden/>
              </w:rPr>
              <w:fldChar w:fldCharType="end"/>
            </w:r>
          </w:hyperlink>
        </w:p>
        <w:p w14:paraId="557C004C" w14:textId="204F1C9B" w:rsidR="00A53D39" w:rsidRDefault="00852A01">
          <w:pPr>
            <w:pStyle w:val="TOC1"/>
            <w:rPr>
              <w:rFonts w:asciiTheme="minorHAnsi" w:eastAsiaTheme="minorEastAsia" w:hAnsiTheme="minorHAnsi" w:cstheme="minorBidi"/>
              <w:szCs w:val="22"/>
              <w:lang w:val="en-BE" w:eastAsia="en-BE"/>
            </w:rPr>
          </w:pPr>
          <w:hyperlink w:anchor="_Toc117603274" w:history="1">
            <w:r w:rsidR="00A53D39" w:rsidRPr="00340C05">
              <w:rPr>
                <w:rStyle w:val="Hyperlink"/>
              </w:rPr>
              <w:t>B10. Gestion de l’évaluation</w:t>
            </w:r>
            <w:r w:rsidR="00A53D39">
              <w:rPr>
                <w:webHidden/>
              </w:rPr>
              <w:tab/>
            </w:r>
            <w:r w:rsidR="00A53D39">
              <w:rPr>
                <w:webHidden/>
              </w:rPr>
              <w:fldChar w:fldCharType="begin"/>
            </w:r>
            <w:r w:rsidR="00A53D39">
              <w:rPr>
                <w:webHidden/>
              </w:rPr>
              <w:instrText xml:space="preserve"> PAGEREF _Toc117603274 \h </w:instrText>
            </w:r>
            <w:r w:rsidR="00A53D39">
              <w:rPr>
                <w:webHidden/>
              </w:rPr>
            </w:r>
            <w:r w:rsidR="00A53D39">
              <w:rPr>
                <w:webHidden/>
              </w:rPr>
              <w:fldChar w:fldCharType="separate"/>
            </w:r>
            <w:r w:rsidR="00353097">
              <w:rPr>
                <w:webHidden/>
              </w:rPr>
              <w:t>32</w:t>
            </w:r>
            <w:r w:rsidR="00A53D39">
              <w:rPr>
                <w:webHidden/>
              </w:rPr>
              <w:fldChar w:fldCharType="end"/>
            </w:r>
          </w:hyperlink>
        </w:p>
        <w:p w14:paraId="260830F8" w14:textId="78AD28FA" w:rsidR="00A53D39" w:rsidRDefault="00852A01">
          <w:pPr>
            <w:pStyle w:val="TOC1"/>
            <w:rPr>
              <w:rFonts w:asciiTheme="minorHAnsi" w:eastAsiaTheme="minorEastAsia" w:hAnsiTheme="minorHAnsi" w:cstheme="minorBidi"/>
              <w:szCs w:val="22"/>
              <w:lang w:val="en-BE" w:eastAsia="en-BE"/>
            </w:rPr>
          </w:pPr>
          <w:hyperlink w:anchor="_Toc117603278" w:history="1">
            <w:r w:rsidR="00A53D39" w:rsidRPr="00340C05">
              <w:rPr>
                <w:rStyle w:val="Hyperlink"/>
                <w:lang w:val="fr-BE"/>
              </w:rPr>
              <w:t>B11. Format et langue des rapports</w:t>
            </w:r>
            <w:r w:rsidR="00A53D39">
              <w:rPr>
                <w:webHidden/>
              </w:rPr>
              <w:tab/>
            </w:r>
            <w:r w:rsidR="00A53D39">
              <w:rPr>
                <w:webHidden/>
              </w:rPr>
              <w:fldChar w:fldCharType="begin"/>
            </w:r>
            <w:r w:rsidR="00A53D39">
              <w:rPr>
                <w:webHidden/>
              </w:rPr>
              <w:instrText xml:space="preserve"> PAGEREF _Toc117603278 \h </w:instrText>
            </w:r>
            <w:r w:rsidR="00A53D39">
              <w:rPr>
                <w:webHidden/>
              </w:rPr>
            </w:r>
            <w:r w:rsidR="00A53D39">
              <w:rPr>
                <w:webHidden/>
              </w:rPr>
              <w:fldChar w:fldCharType="separate"/>
            </w:r>
            <w:r w:rsidR="00353097">
              <w:rPr>
                <w:webHidden/>
              </w:rPr>
              <w:t>33</w:t>
            </w:r>
            <w:r w:rsidR="00A53D39">
              <w:rPr>
                <w:webHidden/>
              </w:rPr>
              <w:fldChar w:fldCharType="end"/>
            </w:r>
          </w:hyperlink>
        </w:p>
        <w:p w14:paraId="69AFB3FF" w14:textId="6958519D" w:rsidR="00A53D39" w:rsidRDefault="00852A01">
          <w:pPr>
            <w:pStyle w:val="TOC1"/>
            <w:rPr>
              <w:rFonts w:asciiTheme="minorHAnsi" w:eastAsiaTheme="minorEastAsia" w:hAnsiTheme="minorHAnsi" w:cstheme="minorBidi"/>
              <w:szCs w:val="22"/>
              <w:lang w:val="en-BE" w:eastAsia="en-BE"/>
            </w:rPr>
          </w:pPr>
          <w:hyperlink w:anchor="_Toc117603281" w:history="1">
            <w:r w:rsidR="00A53D39" w:rsidRPr="00340C05">
              <w:rPr>
                <w:rStyle w:val="Hyperlink"/>
                <w:lang w:val="fr-BE"/>
              </w:rPr>
              <w:t>B12. Critères applicables aux offres</w:t>
            </w:r>
            <w:r w:rsidR="00A53D39">
              <w:rPr>
                <w:webHidden/>
              </w:rPr>
              <w:tab/>
            </w:r>
            <w:r w:rsidR="00A53D39">
              <w:rPr>
                <w:webHidden/>
              </w:rPr>
              <w:fldChar w:fldCharType="begin"/>
            </w:r>
            <w:r w:rsidR="00A53D39">
              <w:rPr>
                <w:webHidden/>
              </w:rPr>
              <w:instrText xml:space="preserve"> PAGEREF _Toc117603281 \h </w:instrText>
            </w:r>
            <w:r w:rsidR="00A53D39">
              <w:rPr>
                <w:webHidden/>
              </w:rPr>
            </w:r>
            <w:r w:rsidR="00A53D39">
              <w:rPr>
                <w:webHidden/>
              </w:rPr>
              <w:fldChar w:fldCharType="separate"/>
            </w:r>
            <w:r w:rsidR="00353097">
              <w:rPr>
                <w:webHidden/>
              </w:rPr>
              <w:t>34</w:t>
            </w:r>
            <w:r w:rsidR="00A53D39">
              <w:rPr>
                <w:webHidden/>
              </w:rPr>
              <w:fldChar w:fldCharType="end"/>
            </w:r>
          </w:hyperlink>
        </w:p>
        <w:p w14:paraId="0B4B92D4" w14:textId="394ADF35" w:rsidR="00A53D39" w:rsidRDefault="00852A01">
          <w:pPr>
            <w:pStyle w:val="TOC1"/>
            <w:rPr>
              <w:rFonts w:asciiTheme="minorHAnsi" w:eastAsiaTheme="minorEastAsia" w:hAnsiTheme="minorHAnsi" w:cstheme="minorBidi"/>
              <w:szCs w:val="22"/>
              <w:lang w:val="en-BE" w:eastAsia="en-BE"/>
            </w:rPr>
          </w:pPr>
          <w:hyperlink w:anchor="_Toc117603285" w:history="1">
            <w:r w:rsidR="00A53D39" w:rsidRPr="00340C05">
              <w:rPr>
                <w:rStyle w:val="Hyperlink"/>
                <w:lang w:val="fr-BE"/>
              </w:rPr>
              <w:t>C. ANNEXES</w:t>
            </w:r>
            <w:r w:rsidR="00A53D39">
              <w:rPr>
                <w:webHidden/>
              </w:rPr>
              <w:tab/>
            </w:r>
            <w:r w:rsidR="00A53D39">
              <w:rPr>
                <w:webHidden/>
              </w:rPr>
              <w:fldChar w:fldCharType="begin"/>
            </w:r>
            <w:r w:rsidR="00A53D39">
              <w:rPr>
                <w:webHidden/>
              </w:rPr>
              <w:instrText xml:space="preserve"> PAGEREF _Toc117603285 \h </w:instrText>
            </w:r>
            <w:r w:rsidR="00A53D39">
              <w:rPr>
                <w:webHidden/>
              </w:rPr>
            </w:r>
            <w:r w:rsidR="00A53D39">
              <w:rPr>
                <w:webHidden/>
              </w:rPr>
              <w:fldChar w:fldCharType="separate"/>
            </w:r>
            <w:r w:rsidR="00353097">
              <w:rPr>
                <w:webHidden/>
              </w:rPr>
              <w:t>36</w:t>
            </w:r>
            <w:r w:rsidR="00A53D39">
              <w:rPr>
                <w:webHidden/>
              </w:rPr>
              <w:fldChar w:fldCharType="end"/>
            </w:r>
          </w:hyperlink>
        </w:p>
        <w:p w14:paraId="6D4C97C5" w14:textId="2B5FFE10" w:rsidR="00A53D39" w:rsidRDefault="00852A01">
          <w:pPr>
            <w:pStyle w:val="TOC1"/>
            <w:rPr>
              <w:rFonts w:asciiTheme="minorHAnsi" w:eastAsiaTheme="minorEastAsia" w:hAnsiTheme="minorHAnsi" w:cstheme="minorBidi"/>
              <w:szCs w:val="22"/>
              <w:lang w:val="en-BE" w:eastAsia="en-BE"/>
            </w:rPr>
          </w:pPr>
          <w:hyperlink w:anchor="_Toc117603286" w:history="1">
            <w:r w:rsidR="00A53D39" w:rsidRPr="00340C05">
              <w:rPr>
                <w:rStyle w:val="Hyperlink"/>
                <w:lang w:val="fr-BE"/>
              </w:rPr>
              <w:t>C1. Fiche de renseignements - offre technique et financière</w:t>
            </w:r>
            <w:r w:rsidR="00A53D39" w:rsidRPr="00340C05">
              <w:rPr>
                <w:rStyle w:val="Hyperlink"/>
                <w:rFonts w:ascii="Times New Roman" w:hAnsi="Times New Roman" w:cs="Times New Roman"/>
                <w:lang w:val="fr-BE"/>
              </w:rPr>
              <w:t> </w:t>
            </w:r>
            <w:r w:rsidR="00A53D39">
              <w:rPr>
                <w:webHidden/>
              </w:rPr>
              <w:tab/>
            </w:r>
            <w:r w:rsidR="00A53D39">
              <w:rPr>
                <w:webHidden/>
              </w:rPr>
              <w:fldChar w:fldCharType="begin"/>
            </w:r>
            <w:r w:rsidR="00A53D39">
              <w:rPr>
                <w:webHidden/>
              </w:rPr>
              <w:instrText xml:space="preserve"> PAGEREF _Toc117603286 \h </w:instrText>
            </w:r>
            <w:r w:rsidR="00A53D39">
              <w:rPr>
                <w:webHidden/>
              </w:rPr>
            </w:r>
            <w:r w:rsidR="00A53D39">
              <w:rPr>
                <w:webHidden/>
              </w:rPr>
              <w:fldChar w:fldCharType="separate"/>
            </w:r>
            <w:r w:rsidR="00353097">
              <w:rPr>
                <w:webHidden/>
              </w:rPr>
              <w:t>36</w:t>
            </w:r>
            <w:r w:rsidR="00A53D39">
              <w:rPr>
                <w:webHidden/>
              </w:rPr>
              <w:fldChar w:fldCharType="end"/>
            </w:r>
          </w:hyperlink>
        </w:p>
        <w:p w14:paraId="5D26F163" w14:textId="223EA5B9" w:rsidR="00A53D39" w:rsidRDefault="00852A01">
          <w:pPr>
            <w:pStyle w:val="TOC1"/>
            <w:rPr>
              <w:rFonts w:asciiTheme="minorHAnsi" w:eastAsiaTheme="minorEastAsia" w:hAnsiTheme="minorHAnsi" w:cstheme="minorBidi"/>
              <w:szCs w:val="22"/>
              <w:lang w:val="en-BE" w:eastAsia="en-BE"/>
            </w:rPr>
          </w:pPr>
          <w:hyperlink w:anchor="_Toc117603289" w:history="1">
            <w:r w:rsidR="00A53D39" w:rsidRPr="00340C05">
              <w:rPr>
                <w:rStyle w:val="Hyperlink"/>
              </w:rPr>
              <w:t>C2. FORMULAIRE DE SOUMISSION</w:t>
            </w:r>
            <w:r w:rsidR="00A53D39">
              <w:rPr>
                <w:webHidden/>
              </w:rPr>
              <w:tab/>
            </w:r>
            <w:r w:rsidR="00A53D39">
              <w:rPr>
                <w:webHidden/>
              </w:rPr>
              <w:fldChar w:fldCharType="begin"/>
            </w:r>
            <w:r w:rsidR="00A53D39">
              <w:rPr>
                <w:webHidden/>
              </w:rPr>
              <w:instrText xml:space="preserve"> PAGEREF _Toc117603289 \h </w:instrText>
            </w:r>
            <w:r w:rsidR="00A53D39">
              <w:rPr>
                <w:webHidden/>
              </w:rPr>
            </w:r>
            <w:r w:rsidR="00A53D39">
              <w:rPr>
                <w:webHidden/>
              </w:rPr>
              <w:fldChar w:fldCharType="separate"/>
            </w:r>
            <w:r w:rsidR="00353097">
              <w:rPr>
                <w:webHidden/>
              </w:rPr>
              <w:t>40</w:t>
            </w:r>
            <w:r w:rsidR="00A53D39">
              <w:rPr>
                <w:webHidden/>
              </w:rPr>
              <w:fldChar w:fldCharType="end"/>
            </w:r>
          </w:hyperlink>
        </w:p>
        <w:p w14:paraId="7E28C8EC" w14:textId="3A074A24" w:rsidR="00B942FD" w:rsidRPr="00E0145E" w:rsidRDefault="00DC461A" w:rsidP="002E704D">
          <w:pPr>
            <w:jc w:val="both"/>
            <w:rPr>
              <w:b/>
              <w:bCs/>
              <w:noProof/>
            </w:rPr>
            <w:sectPr w:rsidR="00B942FD" w:rsidRPr="00E0145E" w:rsidSect="004E29D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81"/>
            </w:sectPr>
          </w:pPr>
          <w:r w:rsidRPr="005924FE">
            <w:rPr>
              <w:b/>
              <w:bCs/>
              <w:noProof/>
            </w:rPr>
            <w:fldChar w:fldCharType="end"/>
          </w:r>
        </w:p>
      </w:sdtContent>
    </w:sdt>
    <w:tbl>
      <w:tblPr>
        <w:tblpPr w:leftFromText="141" w:rightFromText="141" w:vertAnchor="text" w:horzAnchor="margin" w:tblpY="23"/>
        <w:tblW w:w="9212" w:type="dxa"/>
        <w:tblLayout w:type="fixed"/>
        <w:tblCellMar>
          <w:left w:w="0" w:type="dxa"/>
          <w:right w:w="0" w:type="dxa"/>
        </w:tblCellMar>
        <w:tblLook w:val="0000" w:firstRow="0" w:lastRow="0" w:firstColumn="0" w:lastColumn="0" w:noHBand="0" w:noVBand="0"/>
      </w:tblPr>
      <w:tblGrid>
        <w:gridCol w:w="4323"/>
        <w:gridCol w:w="4889"/>
      </w:tblGrid>
      <w:tr w:rsidR="00F602F6" w:rsidRPr="0013631F" w14:paraId="49D48411" w14:textId="77777777">
        <w:trPr>
          <w:cantSplit/>
        </w:trPr>
        <w:tc>
          <w:tcPr>
            <w:tcW w:w="4323" w:type="dxa"/>
            <w:tcBorders>
              <w:top w:val="single" w:sz="12" w:space="0" w:color="000000"/>
              <w:left w:val="single" w:sz="12" w:space="0" w:color="000000"/>
              <w:bottom w:val="single" w:sz="12" w:space="0" w:color="000000"/>
              <w:right w:val="single" w:sz="12" w:space="0" w:color="000000"/>
            </w:tcBorders>
          </w:tcPr>
          <w:p w14:paraId="4E1148BA" w14:textId="4D4247CD" w:rsidR="00F602F6" w:rsidRPr="00064750" w:rsidRDefault="00064750" w:rsidP="00F602F6">
            <w:pPr>
              <w:snapToGrid w:val="0"/>
              <w:spacing w:after="0" w:line="240" w:lineRule="auto"/>
              <w:rPr>
                <w:rFonts w:eastAsia="Times New Roman" w:cs="Calibri"/>
                <w:szCs w:val="22"/>
                <w:lang w:val="fr-BE"/>
              </w:rPr>
            </w:pPr>
            <w:bookmarkStart w:id="4" w:name="_Hlk101253842"/>
            <w:r w:rsidRPr="00064750">
              <w:rPr>
                <w:rFonts w:eastAsia="Times New Roman" w:cs="Calibri"/>
                <w:szCs w:val="22"/>
                <w:lang w:val="fr-BE"/>
              </w:rPr>
              <w:lastRenderedPageBreak/>
              <w:t xml:space="preserve">SPF Affaires étrangères, Commerce extérieur et Coopération au développement </w:t>
            </w:r>
            <w:r w:rsidR="00F602F6" w:rsidRPr="00064750">
              <w:rPr>
                <w:rFonts w:eastAsia="Times New Roman" w:cs="Calibri"/>
                <w:szCs w:val="22"/>
                <w:lang w:val="fr-BE"/>
              </w:rPr>
              <w:br/>
            </w:r>
            <w:r w:rsidR="009D04D3" w:rsidRPr="00064750">
              <w:rPr>
                <w:lang w:val="fr-BE"/>
              </w:rPr>
              <w:t xml:space="preserve"> </w:t>
            </w:r>
            <w:r w:rsidR="009D04D3" w:rsidRPr="00064750">
              <w:rPr>
                <w:rFonts w:eastAsia="Times New Roman" w:cs="Calibri"/>
                <w:szCs w:val="22"/>
                <w:lang w:val="fr-BE"/>
              </w:rPr>
              <w:t>Rue des Petits Carmes 15, 1000 Bruxelles</w:t>
            </w:r>
          </w:p>
          <w:p w14:paraId="081FE289" w14:textId="77777777" w:rsidR="00F602F6" w:rsidRPr="00064750" w:rsidRDefault="00F602F6" w:rsidP="00F602F6">
            <w:pPr>
              <w:snapToGrid w:val="0"/>
              <w:spacing w:after="0" w:line="240" w:lineRule="auto"/>
              <w:rPr>
                <w:rFonts w:eastAsia="Times New Roman" w:cs="Calibri"/>
                <w:szCs w:val="22"/>
                <w:lang w:val="fr-BE"/>
              </w:rPr>
            </w:pPr>
          </w:p>
          <w:p w14:paraId="4A4268E0" w14:textId="38EF0671" w:rsidR="00F602F6" w:rsidRPr="00300125" w:rsidRDefault="00CE48E2" w:rsidP="00F602F6">
            <w:pPr>
              <w:snapToGrid w:val="0"/>
              <w:spacing w:after="0" w:line="240" w:lineRule="auto"/>
              <w:rPr>
                <w:rFonts w:eastAsia="Times New Roman" w:cs="Calibri"/>
                <w:szCs w:val="22"/>
              </w:rPr>
            </w:pPr>
            <w:r w:rsidRPr="00300125">
              <w:rPr>
                <w:rFonts w:eastAsia="Times New Roman" w:cs="Calibri"/>
                <w:szCs w:val="22"/>
              </w:rPr>
              <w:t>I</w:t>
            </w:r>
            <w:r>
              <w:rPr>
                <w:rFonts w:eastAsia="Times New Roman" w:cs="Calibri"/>
                <w:szCs w:val="22"/>
              </w:rPr>
              <w:t>vo Hooghe</w:t>
            </w:r>
          </w:p>
          <w:p w14:paraId="70BE41AC" w14:textId="7824D393" w:rsidR="00F602F6" w:rsidRPr="00300125" w:rsidRDefault="00F602F6" w:rsidP="00F602F6">
            <w:pPr>
              <w:snapToGrid w:val="0"/>
              <w:spacing w:after="0" w:line="240" w:lineRule="auto"/>
              <w:rPr>
                <w:rFonts w:eastAsia="Times New Roman" w:cs="Calibri"/>
                <w:szCs w:val="22"/>
              </w:rPr>
            </w:pPr>
            <w:r w:rsidRPr="00300125">
              <w:rPr>
                <w:rFonts w:eastAsia="Times New Roman" w:cs="Calibri"/>
                <w:szCs w:val="22"/>
              </w:rPr>
              <w:t xml:space="preserve">Tel: </w:t>
            </w:r>
            <w:r w:rsidR="004A757C">
              <w:rPr>
                <w:rFonts w:eastAsia="Times New Roman" w:cs="Calibri"/>
                <w:szCs w:val="22"/>
              </w:rPr>
              <w:t>+ 32 (02) 501 86 76</w:t>
            </w:r>
          </w:p>
          <w:p w14:paraId="4DEA5DB1" w14:textId="4BECF1C4" w:rsidR="00F602F6" w:rsidRPr="00300125" w:rsidRDefault="00F602F6" w:rsidP="00F602F6">
            <w:pPr>
              <w:snapToGrid w:val="0"/>
              <w:spacing w:after="0" w:line="240" w:lineRule="auto"/>
              <w:rPr>
                <w:rFonts w:eastAsia="Times New Roman" w:cs="Times New Roman"/>
                <w:szCs w:val="22"/>
                <w:lang w:eastAsia="fr-FR"/>
              </w:rPr>
            </w:pPr>
            <w:r w:rsidRPr="00300125">
              <w:rPr>
                <w:rFonts w:eastAsia="Times New Roman" w:cs="Calibri"/>
                <w:szCs w:val="22"/>
              </w:rPr>
              <w:t xml:space="preserve">Email: </w:t>
            </w:r>
            <w:r w:rsidR="007A5786">
              <w:rPr>
                <w:rFonts w:eastAsia="Times New Roman" w:cs="Times New Roman"/>
                <w:szCs w:val="22"/>
                <w:lang w:eastAsia="fr-FR"/>
              </w:rPr>
              <w:t>ivo.hooghe</w:t>
            </w:r>
            <w:r w:rsidRPr="00300125">
              <w:rPr>
                <w:rFonts w:eastAsia="Times New Roman" w:cs="Times New Roman"/>
                <w:szCs w:val="22"/>
                <w:lang w:eastAsia="fr-FR"/>
              </w:rPr>
              <w:t>@diplobel.fed.be</w:t>
            </w:r>
          </w:p>
        </w:tc>
        <w:tc>
          <w:tcPr>
            <w:tcW w:w="4889" w:type="dxa"/>
          </w:tcPr>
          <w:p w14:paraId="33193308" w14:textId="77777777" w:rsidR="00F602F6" w:rsidRPr="00300125" w:rsidRDefault="00F602F6" w:rsidP="00F602F6">
            <w:pPr>
              <w:snapToGrid w:val="0"/>
              <w:spacing w:after="0" w:line="240" w:lineRule="auto"/>
              <w:jc w:val="right"/>
              <w:rPr>
                <w:rFonts w:eastAsia="Times New Roman" w:cs="Calibri"/>
                <w:szCs w:val="22"/>
              </w:rPr>
            </w:pPr>
          </w:p>
          <w:p w14:paraId="68C78AAD" w14:textId="77777777" w:rsidR="00F602F6" w:rsidRPr="00300125" w:rsidRDefault="00F602F6" w:rsidP="00F602F6">
            <w:pPr>
              <w:snapToGrid w:val="0"/>
              <w:spacing w:after="0" w:line="240" w:lineRule="auto"/>
              <w:jc w:val="right"/>
              <w:rPr>
                <w:rFonts w:eastAsia="Times New Roman" w:cs="Calibri"/>
                <w:szCs w:val="22"/>
              </w:rPr>
            </w:pPr>
          </w:p>
          <w:p w14:paraId="4A2007B5" w14:textId="77777777" w:rsidR="00F602F6" w:rsidRPr="00300125" w:rsidRDefault="00F602F6" w:rsidP="00F602F6">
            <w:pPr>
              <w:snapToGrid w:val="0"/>
              <w:spacing w:after="0" w:line="240" w:lineRule="auto"/>
              <w:jc w:val="right"/>
              <w:rPr>
                <w:rFonts w:eastAsia="Times New Roman" w:cs="Calibri"/>
                <w:szCs w:val="22"/>
              </w:rPr>
            </w:pPr>
          </w:p>
        </w:tc>
      </w:tr>
    </w:tbl>
    <w:p w14:paraId="78DB6DCB" w14:textId="77777777" w:rsidR="00F602F6" w:rsidRPr="00300125" w:rsidRDefault="00F602F6" w:rsidP="00F602F6">
      <w:pPr>
        <w:pBdr>
          <w:top w:val="single" w:sz="6" w:space="1" w:color="000000"/>
          <w:left w:val="single" w:sz="6" w:space="1" w:color="000000"/>
          <w:bottom w:val="single" w:sz="6" w:space="1" w:color="000000"/>
          <w:right w:val="single" w:sz="6" w:space="1" w:color="000000"/>
        </w:pBdr>
        <w:snapToGrid w:val="0"/>
        <w:spacing w:after="0" w:line="240" w:lineRule="auto"/>
        <w:rPr>
          <w:rFonts w:eastAsia="Times New Roman" w:cs="Calibri"/>
          <w:szCs w:val="22"/>
        </w:rPr>
      </w:pPr>
    </w:p>
    <w:p w14:paraId="150FFAFC" w14:textId="71F00ACC" w:rsidR="00F602F6" w:rsidRPr="00A32F68" w:rsidRDefault="00A32F68" w:rsidP="00F602F6">
      <w:pPr>
        <w:pBdr>
          <w:top w:val="single" w:sz="6" w:space="1" w:color="000000"/>
          <w:left w:val="single" w:sz="6" w:space="1" w:color="000000"/>
          <w:bottom w:val="single" w:sz="6" w:space="1" w:color="000000"/>
          <w:right w:val="single" w:sz="6" w:space="1" w:color="000000"/>
        </w:pBdr>
        <w:snapToGrid w:val="0"/>
        <w:spacing w:after="0" w:line="240" w:lineRule="auto"/>
        <w:rPr>
          <w:rFonts w:eastAsia="Times New Roman" w:cs="Calibri"/>
          <w:szCs w:val="22"/>
          <w:lang w:val="fr-BE"/>
        </w:rPr>
      </w:pPr>
      <w:r w:rsidRPr="00A32F68">
        <w:rPr>
          <w:rFonts w:eastAsia="Times New Roman" w:cs="Calibri"/>
          <w:szCs w:val="22"/>
          <w:lang w:val="fr-BE"/>
        </w:rPr>
        <w:t xml:space="preserve">CAHIER SPÉCIAL DES CHARGES n° </w:t>
      </w:r>
      <w:r w:rsidR="00F602F6" w:rsidRPr="00A32F68">
        <w:rPr>
          <w:rFonts w:eastAsia="Times New Roman" w:cs="Calibri"/>
          <w:szCs w:val="22"/>
          <w:lang w:val="fr-BE"/>
        </w:rPr>
        <w:t>S</w:t>
      </w:r>
      <w:r w:rsidR="0088211F" w:rsidRPr="00A32F68">
        <w:rPr>
          <w:rFonts w:eastAsia="Times New Roman" w:cs="Calibri"/>
          <w:szCs w:val="22"/>
          <w:lang w:val="fr-BE"/>
        </w:rPr>
        <w:t>2</w:t>
      </w:r>
      <w:r w:rsidR="00F602F6" w:rsidRPr="00511B64">
        <w:rPr>
          <w:rFonts w:eastAsia="Times New Roman" w:cs="Calibri"/>
          <w:szCs w:val="22"/>
          <w:lang w:val="fr-BE"/>
        </w:rPr>
        <w:t>/20</w:t>
      </w:r>
      <w:r w:rsidR="007A5786" w:rsidRPr="00511B64">
        <w:rPr>
          <w:rFonts w:eastAsia="Times New Roman" w:cs="Calibri"/>
          <w:szCs w:val="22"/>
          <w:lang w:val="fr-BE"/>
        </w:rPr>
        <w:t>22/03</w:t>
      </w:r>
    </w:p>
    <w:p w14:paraId="211C614D" w14:textId="77777777" w:rsidR="00F602F6" w:rsidRPr="00A32F68" w:rsidRDefault="00F602F6" w:rsidP="00F602F6">
      <w:pPr>
        <w:pBdr>
          <w:top w:val="single" w:sz="6" w:space="1" w:color="000000"/>
          <w:left w:val="single" w:sz="6" w:space="1" w:color="000000"/>
          <w:bottom w:val="single" w:sz="6" w:space="1" w:color="000000"/>
          <w:right w:val="single" w:sz="6" w:space="1" w:color="000000"/>
        </w:pBdr>
        <w:snapToGrid w:val="0"/>
        <w:spacing w:after="0" w:line="240" w:lineRule="auto"/>
        <w:rPr>
          <w:rFonts w:eastAsia="Times New Roman" w:cs="Calibri"/>
          <w:b/>
          <w:szCs w:val="22"/>
          <w:lang w:val="fr-BE"/>
        </w:rPr>
      </w:pPr>
    </w:p>
    <w:p w14:paraId="58CD92F3" w14:textId="7E64FC3A" w:rsidR="00F602F6" w:rsidRPr="00A32F68" w:rsidRDefault="00A32F68" w:rsidP="00F602F6">
      <w:pPr>
        <w:pBdr>
          <w:top w:val="single" w:sz="6" w:space="1" w:color="000000"/>
          <w:left w:val="single" w:sz="6" w:space="1" w:color="000000"/>
          <w:bottom w:val="single" w:sz="6" w:space="1" w:color="000000"/>
          <w:right w:val="single" w:sz="6" w:space="1" w:color="000000"/>
        </w:pBdr>
        <w:snapToGrid w:val="0"/>
        <w:spacing w:after="0" w:line="240" w:lineRule="auto"/>
        <w:rPr>
          <w:rFonts w:eastAsia="Times New Roman" w:cs="Calibri"/>
          <w:szCs w:val="22"/>
          <w:lang w:val="fr-BE"/>
        </w:rPr>
      </w:pPr>
      <w:r>
        <w:rPr>
          <w:rFonts w:eastAsia="Times New Roman" w:cs="Calibri"/>
          <w:szCs w:val="22"/>
          <w:lang w:val="fr-BE"/>
        </w:rPr>
        <w:t>PROCEDURE OUVERTE</w:t>
      </w:r>
      <w:r w:rsidR="00F602F6" w:rsidRPr="00A32F68">
        <w:rPr>
          <w:rFonts w:eastAsia="Times New Roman" w:cs="Calibri"/>
          <w:szCs w:val="22"/>
          <w:lang w:val="fr-BE"/>
        </w:rPr>
        <w:t xml:space="preserve"> </w:t>
      </w:r>
      <w:r w:rsidR="00F602F6" w:rsidRPr="00A32F68">
        <w:rPr>
          <w:rFonts w:eastAsia="Times New Roman" w:cs="Calibri"/>
          <w:szCs w:val="22"/>
          <w:lang w:val="fr-BE"/>
        </w:rPr>
        <w:br/>
      </w:r>
      <w:r w:rsidRPr="00A32F68">
        <w:rPr>
          <w:rFonts w:eastAsia="Times New Roman" w:cs="Calibri"/>
          <w:szCs w:val="22"/>
          <w:lang w:val="fr-BE"/>
        </w:rPr>
        <w:t>PORTANT SUR L’EVALUATION</w:t>
      </w:r>
      <w:r w:rsidR="0068563B">
        <w:rPr>
          <w:rFonts w:eastAsia="Times New Roman" w:cs="Calibri"/>
          <w:szCs w:val="22"/>
          <w:lang w:val="fr-BE"/>
        </w:rPr>
        <w:t xml:space="preserve"> DE</w:t>
      </w:r>
      <w:r w:rsidR="007950DA">
        <w:rPr>
          <w:rFonts w:eastAsia="Times New Roman" w:cs="Calibri"/>
          <w:szCs w:val="22"/>
          <w:lang w:val="fr-BE"/>
        </w:rPr>
        <w:t xml:space="preserve"> L’APPROCHE BELGE</w:t>
      </w:r>
      <w:r w:rsidR="006676F2">
        <w:rPr>
          <w:rFonts w:eastAsia="Times New Roman" w:cs="Calibri"/>
          <w:szCs w:val="22"/>
          <w:lang w:val="fr-BE"/>
        </w:rPr>
        <w:t xml:space="preserve"> EN MATIERE DE FRAGILITE</w:t>
      </w:r>
      <w:r w:rsidR="00F602F6" w:rsidRPr="00A32F68">
        <w:rPr>
          <w:rFonts w:eastAsia="Times New Roman" w:cs="Calibri"/>
          <w:szCs w:val="22"/>
          <w:lang w:val="fr-BE"/>
        </w:rPr>
        <w:br/>
      </w:r>
    </w:p>
    <w:p w14:paraId="394EDA6A" w14:textId="4FF44361" w:rsidR="00F602F6" w:rsidRPr="002E46C7" w:rsidRDefault="002E46C7" w:rsidP="3586E409">
      <w:pPr>
        <w:pBdr>
          <w:top w:val="single" w:sz="6" w:space="1" w:color="000000"/>
          <w:left w:val="single" w:sz="6" w:space="1" w:color="000000"/>
          <w:bottom w:val="single" w:sz="6" w:space="1" w:color="000000"/>
          <w:right w:val="single" w:sz="6" w:space="1" w:color="000000"/>
        </w:pBdr>
        <w:snapToGrid w:val="0"/>
        <w:spacing w:after="0" w:line="240" w:lineRule="auto"/>
        <w:rPr>
          <w:rFonts w:eastAsia="Times New Roman" w:cs="Calibri"/>
          <w:lang w:val="fr-BE"/>
        </w:rPr>
      </w:pPr>
      <w:r w:rsidRPr="3586E409">
        <w:rPr>
          <w:rFonts w:eastAsia="Times New Roman" w:cs="Calibri"/>
          <w:lang w:val="fr-BE"/>
        </w:rPr>
        <w:t>POUR LE COMPTE DU SERVICE DE L’ÉVALUATION SPÉCIALE</w:t>
      </w:r>
      <w:r w:rsidR="3BFCCBDD" w:rsidRPr="3586E409">
        <w:rPr>
          <w:rFonts w:eastAsia="Times New Roman" w:cs="Calibri"/>
          <w:lang w:val="fr-BE"/>
        </w:rPr>
        <w:t xml:space="preserve"> DE LA COOPERATION </w:t>
      </w:r>
      <w:r w:rsidR="00EE363D" w:rsidRPr="3586E409">
        <w:rPr>
          <w:rFonts w:eastAsia="Times New Roman" w:cs="Calibri"/>
          <w:lang w:val="fr-BE"/>
        </w:rPr>
        <w:t xml:space="preserve">BELGE </w:t>
      </w:r>
      <w:r w:rsidR="3BFCCBDD" w:rsidRPr="3586E409">
        <w:rPr>
          <w:rFonts w:eastAsia="Times New Roman" w:cs="Calibri"/>
          <w:lang w:val="fr-BE"/>
        </w:rPr>
        <w:t xml:space="preserve">AU DEVELOPPEMENT </w:t>
      </w:r>
      <w:r w:rsidRPr="3586E409">
        <w:rPr>
          <w:rFonts w:eastAsia="Times New Roman" w:cs="Calibri"/>
          <w:lang w:val="fr-BE"/>
        </w:rPr>
        <w:t>DU SPF AFFAIRES ÉTRANGÈRES, COMMERCE EXTÉRIEUR ET COOPÉRATION AU DÉVELOPPEMENT</w:t>
      </w:r>
    </w:p>
    <w:p w14:paraId="2788A9DA" w14:textId="1F09178D" w:rsidR="009875B8" w:rsidRPr="00013A10" w:rsidRDefault="009875B8" w:rsidP="009875B8">
      <w:pPr>
        <w:keepNext/>
        <w:keepLines/>
        <w:spacing w:before="600" w:after="120"/>
        <w:ind w:left="432" w:hanging="432"/>
        <w:jc w:val="left"/>
        <w:outlineLvl w:val="0"/>
        <w:rPr>
          <w:rFonts w:ascii="Lora" w:eastAsiaTheme="majorEastAsia" w:hAnsi="Lora" w:cstheme="majorBidi"/>
          <w:b/>
          <w:bCs/>
          <w:color w:val="3F4A53"/>
          <w:sz w:val="40"/>
          <w:szCs w:val="40"/>
          <w:lang w:val="fr-BE"/>
        </w:rPr>
      </w:pPr>
      <w:bookmarkStart w:id="5" w:name="_Toc77719392"/>
      <w:bookmarkStart w:id="6" w:name="_Toc108509925"/>
      <w:bookmarkStart w:id="7" w:name="_Toc117603188"/>
      <w:bookmarkStart w:id="8" w:name="_Toc12079526"/>
      <w:bookmarkStart w:id="9" w:name="_Toc12862722"/>
      <w:bookmarkStart w:id="10" w:name="_Toc19591181"/>
      <w:bookmarkStart w:id="11" w:name="_Toc232304295"/>
      <w:bookmarkStart w:id="12" w:name="_Toc347134721"/>
      <w:bookmarkStart w:id="13" w:name="_Toc486524193"/>
      <w:bookmarkStart w:id="14" w:name="_Toc487533655"/>
      <w:bookmarkStart w:id="15" w:name="_Toc12453026"/>
      <w:bookmarkEnd w:id="4"/>
      <w:r w:rsidRPr="00013A10">
        <w:rPr>
          <w:rFonts w:ascii="Lora" w:eastAsiaTheme="majorEastAsia" w:hAnsi="Lora" w:cstheme="majorBidi"/>
          <w:b/>
          <w:bCs/>
          <w:color w:val="3F4A53"/>
          <w:sz w:val="40"/>
          <w:szCs w:val="40"/>
          <w:lang w:val="fr-BE"/>
        </w:rPr>
        <w:t xml:space="preserve">A. </w:t>
      </w:r>
      <w:bookmarkEnd w:id="5"/>
      <w:bookmarkEnd w:id="6"/>
      <w:r w:rsidR="003B27BA" w:rsidRPr="00013A10">
        <w:rPr>
          <w:rFonts w:ascii="Lora" w:eastAsiaTheme="majorEastAsia" w:hAnsi="Lora" w:cstheme="majorBidi"/>
          <w:b/>
          <w:bCs/>
          <w:color w:val="3F4A53"/>
          <w:sz w:val="40"/>
          <w:szCs w:val="40"/>
          <w:lang w:val="fr-BE"/>
        </w:rPr>
        <w:t>DISPOSTIONS GÉNÉRALES</w:t>
      </w:r>
      <w:bookmarkEnd w:id="7"/>
    </w:p>
    <w:p w14:paraId="40E8C877" w14:textId="231F42CD" w:rsidR="009875B8" w:rsidRPr="00013A10" w:rsidRDefault="009875B8" w:rsidP="004962DA">
      <w:pPr>
        <w:pStyle w:val="Vade-mecumtitre1"/>
        <w:numPr>
          <w:ilvl w:val="0"/>
          <w:numId w:val="0"/>
        </w:numPr>
        <w:rPr>
          <w:lang w:val="fr-BE"/>
        </w:rPr>
      </w:pPr>
      <w:bookmarkStart w:id="16" w:name="_Toc77719393"/>
      <w:bookmarkStart w:id="17" w:name="_Toc108509926"/>
      <w:bookmarkStart w:id="18" w:name="_Toc117603189"/>
      <w:r w:rsidRPr="00013A10">
        <w:rPr>
          <w:lang w:val="fr-BE"/>
        </w:rPr>
        <w:t xml:space="preserve">A1. </w:t>
      </w:r>
      <w:bookmarkEnd w:id="16"/>
      <w:bookmarkEnd w:id="17"/>
      <w:r w:rsidR="00013A10" w:rsidRPr="00013A10">
        <w:rPr>
          <w:lang w:val="fr-BE"/>
        </w:rPr>
        <w:t>Objet et nature du marché</w:t>
      </w:r>
      <w:bookmarkEnd w:id="18"/>
    </w:p>
    <w:bookmarkEnd w:id="8"/>
    <w:bookmarkEnd w:id="9"/>
    <w:bookmarkEnd w:id="10"/>
    <w:bookmarkEnd w:id="11"/>
    <w:bookmarkEnd w:id="12"/>
    <w:bookmarkEnd w:id="13"/>
    <w:bookmarkEnd w:id="14"/>
    <w:bookmarkEnd w:id="15"/>
    <w:p w14:paraId="3D5F66E1" w14:textId="6B498360" w:rsidR="009875B8" w:rsidRPr="00013A10" w:rsidRDefault="00013A10" w:rsidP="004962DA">
      <w:pPr>
        <w:snapToGrid w:val="0"/>
        <w:spacing w:after="120" w:line="240" w:lineRule="auto"/>
        <w:jc w:val="both"/>
        <w:rPr>
          <w:rFonts w:cstheme="minorHAnsi"/>
          <w:szCs w:val="22"/>
          <w:highlight w:val="yellow"/>
          <w:u w:val="single"/>
          <w:lang w:val="fr-BE"/>
        </w:rPr>
      </w:pPr>
      <w:r w:rsidRPr="00013A10">
        <w:rPr>
          <w:rFonts w:cstheme="minorHAnsi"/>
          <w:szCs w:val="22"/>
          <w:lang w:val="fr-BE"/>
        </w:rPr>
        <w:t xml:space="preserve">Le présent marché porte </w:t>
      </w:r>
      <w:r w:rsidRPr="00511B64">
        <w:rPr>
          <w:rFonts w:cstheme="minorHAnsi"/>
          <w:szCs w:val="22"/>
          <w:lang w:val="fr-BE"/>
        </w:rPr>
        <w:t>sur l’évaluation</w:t>
      </w:r>
      <w:r w:rsidR="00EA2731" w:rsidRPr="00511B64">
        <w:rPr>
          <w:lang w:val="fr-BE"/>
        </w:rPr>
        <w:t xml:space="preserve"> de l</w:t>
      </w:r>
      <w:r w:rsidR="00EA2731" w:rsidRPr="00511B64">
        <w:rPr>
          <w:rFonts w:cstheme="minorHAnsi"/>
          <w:szCs w:val="22"/>
          <w:lang w:val="fr-BE"/>
        </w:rPr>
        <w:t>'approche belge</w:t>
      </w:r>
      <w:r w:rsidR="00257B9E">
        <w:rPr>
          <w:rFonts w:cstheme="minorHAnsi"/>
          <w:szCs w:val="22"/>
          <w:lang w:val="fr-BE"/>
        </w:rPr>
        <w:t xml:space="preserve"> </w:t>
      </w:r>
      <w:r w:rsidR="00490DAB">
        <w:rPr>
          <w:rFonts w:cstheme="minorHAnsi"/>
          <w:szCs w:val="22"/>
          <w:lang w:val="fr-BE"/>
        </w:rPr>
        <w:t>en matière de fragilité</w:t>
      </w:r>
      <w:r w:rsidR="00961759">
        <w:rPr>
          <w:rFonts w:cstheme="minorHAnsi"/>
          <w:szCs w:val="22"/>
          <w:lang w:val="fr-BE"/>
        </w:rPr>
        <w:t>.</w:t>
      </w:r>
    </w:p>
    <w:p w14:paraId="2FB6F261" w14:textId="77777777" w:rsidR="008E44E2" w:rsidRPr="008E44E2" w:rsidRDefault="008E44E2" w:rsidP="008E44E2">
      <w:pPr>
        <w:snapToGrid w:val="0"/>
        <w:spacing w:after="120" w:line="240" w:lineRule="auto"/>
        <w:jc w:val="both"/>
        <w:rPr>
          <w:rFonts w:cstheme="minorHAnsi"/>
          <w:szCs w:val="22"/>
          <w:lang w:val="fr-BE"/>
        </w:rPr>
      </w:pPr>
      <w:r w:rsidRPr="008E44E2">
        <w:rPr>
          <w:rFonts w:cstheme="minorHAnsi"/>
          <w:szCs w:val="22"/>
          <w:lang w:val="fr-BE"/>
        </w:rPr>
        <w:t>La procédure choisie est la procédure ouverte.</w:t>
      </w:r>
    </w:p>
    <w:p w14:paraId="0BD51B5A" w14:textId="2146644E" w:rsidR="008E44E2" w:rsidRPr="008F2165" w:rsidRDefault="008E44E2" w:rsidP="008E44E2">
      <w:pPr>
        <w:snapToGrid w:val="0"/>
        <w:spacing w:after="120" w:line="240" w:lineRule="auto"/>
        <w:jc w:val="both"/>
        <w:rPr>
          <w:rFonts w:cstheme="minorHAnsi"/>
          <w:szCs w:val="22"/>
          <w:lang w:val="fr-BE"/>
        </w:rPr>
      </w:pPr>
      <w:r w:rsidRPr="008E44E2">
        <w:rPr>
          <w:rFonts w:cstheme="minorHAnsi"/>
          <w:szCs w:val="22"/>
          <w:lang w:val="fr-BE"/>
        </w:rPr>
        <w:t xml:space="preserve">Ce marché comporte </w:t>
      </w:r>
      <w:r w:rsidRPr="00511B64">
        <w:rPr>
          <w:rFonts w:cstheme="minorHAnsi"/>
          <w:szCs w:val="22"/>
          <w:lang w:val="fr-BE"/>
        </w:rPr>
        <w:t>un seul lot</w:t>
      </w:r>
      <w:r w:rsidR="00BA115B" w:rsidRPr="008F2165">
        <w:rPr>
          <w:rFonts w:cstheme="minorHAnsi"/>
          <w:szCs w:val="22"/>
          <w:lang w:val="fr-BE"/>
        </w:rPr>
        <w:t xml:space="preserve">. </w:t>
      </w:r>
    </w:p>
    <w:p w14:paraId="07C59342" w14:textId="4AED331C" w:rsidR="008E44E2" w:rsidRDefault="008E44E2" w:rsidP="008E44E2">
      <w:pPr>
        <w:snapToGrid w:val="0"/>
        <w:spacing w:after="120" w:line="240" w:lineRule="auto"/>
        <w:jc w:val="both"/>
        <w:rPr>
          <w:rFonts w:cstheme="minorHAnsi"/>
          <w:szCs w:val="22"/>
          <w:lang w:val="fr-BE"/>
        </w:rPr>
      </w:pPr>
      <w:r w:rsidRPr="008F2165">
        <w:rPr>
          <w:rFonts w:cstheme="minorHAnsi"/>
          <w:szCs w:val="22"/>
          <w:lang w:val="fr-BE"/>
        </w:rPr>
        <w:t xml:space="preserve">Il s’agit d’un marché </w:t>
      </w:r>
      <w:r w:rsidRPr="00511B64">
        <w:rPr>
          <w:rFonts w:cstheme="minorHAnsi"/>
          <w:szCs w:val="22"/>
          <w:lang w:val="fr-BE"/>
        </w:rPr>
        <w:t>à prix global</w:t>
      </w:r>
      <w:r w:rsidRPr="008F2165">
        <w:rPr>
          <w:rFonts w:cstheme="minorHAnsi"/>
          <w:szCs w:val="22"/>
          <w:lang w:val="fr-BE"/>
        </w:rPr>
        <w:t xml:space="preserve"> (A.R. 18 avril 2017, art. 2, 3°).</w:t>
      </w:r>
    </w:p>
    <w:p w14:paraId="29042541" w14:textId="339AAD3E" w:rsidR="009875B8" w:rsidRPr="00835394" w:rsidRDefault="009875B8" w:rsidP="004962DA">
      <w:pPr>
        <w:pStyle w:val="Vade-mecumtitre1"/>
        <w:numPr>
          <w:ilvl w:val="0"/>
          <w:numId w:val="0"/>
        </w:numPr>
        <w:ind w:left="432" w:hanging="432"/>
        <w:rPr>
          <w:lang w:val="fr-BE"/>
        </w:rPr>
      </w:pPr>
      <w:bookmarkStart w:id="19" w:name="_Toc232305905"/>
      <w:bookmarkStart w:id="20" w:name="_Toc19591183"/>
      <w:bookmarkStart w:id="21" w:name="_Toc12862724"/>
      <w:bookmarkStart w:id="22" w:name="_Toc12079528"/>
      <w:bookmarkStart w:id="23" w:name="_Toc230733"/>
      <w:bookmarkStart w:id="24" w:name="_Toc230679"/>
      <w:bookmarkStart w:id="25" w:name="_Toc529747435"/>
      <w:bookmarkStart w:id="26" w:name="_Toc529700579"/>
      <w:bookmarkStart w:id="27" w:name="_Toc529699963"/>
      <w:bookmarkStart w:id="28" w:name="_Toc347134723"/>
      <w:bookmarkStart w:id="29" w:name="_Toc486524195"/>
      <w:bookmarkStart w:id="30" w:name="_Toc487533657"/>
      <w:bookmarkStart w:id="31" w:name="_Toc12453028"/>
      <w:bookmarkStart w:id="32" w:name="_Toc77719394"/>
      <w:bookmarkStart w:id="33" w:name="_Toc108509927"/>
      <w:bookmarkStart w:id="34" w:name="_Toc117603190"/>
      <w:r w:rsidRPr="00835394">
        <w:rPr>
          <w:lang w:val="fr-BE"/>
        </w:rPr>
        <w:t xml:space="preserve">A2.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FE68DC" w:rsidRPr="00835394">
        <w:rPr>
          <w:lang w:val="fr-BE"/>
        </w:rPr>
        <w:t>Durée du contrat</w:t>
      </w:r>
      <w:bookmarkEnd w:id="34"/>
    </w:p>
    <w:p w14:paraId="0D0F793E" w14:textId="3CF9BBF9" w:rsidR="00FE68DC" w:rsidRPr="00FE68DC" w:rsidRDefault="00FE68DC" w:rsidP="009875B8">
      <w:pPr>
        <w:snapToGrid w:val="0"/>
        <w:spacing w:after="120" w:line="240" w:lineRule="auto"/>
        <w:jc w:val="both"/>
        <w:rPr>
          <w:rFonts w:cstheme="minorHAnsi"/>
          <w:szCs w:val="22"/>
          <w:lang w:val="fr-BE"/>
        </w:rPr>
      </w:pPr>
      <w:bookmarkStart w:id="35" w:name="_Hlk5864578"/>
      <w:r w:rsidRPr="007A36FF">
        <w:rPr>
          <w:rFonts w:cstheme="minorHAnsi"/>
          <w:szCs w:val="22"/>
          <w:lang w:val="fr-BE"/>
        </w:rPr>
        <w:t xml:space="preserve">Le marché prend cours le troisième jour ouvrable qui suit la date de la notification de la conclusion du marché et est conclu pour une période de </w:t>
      </w:r>
      <w:r w:rsidR="00E65EC6" w:rsidRPr="00511B64">
        <w:rPr>
          <w:rFonts w:cstheme="minorHAnsi"/>
          <w:szCs w:val="22"/>
          <w:lang w:val="fr-BE"/>
        </w:rPr>
        <w:t>12</w:t>
      </w:r>
      <w:r w:rsidRPr="00511B64">
        <w:rPr>
          <w:rFonts w:cstheme="minorHAnsi"/>
          <w:szCs w:val="22"/>
          <w:lang w:val="fr-BE"/>
        </w:rPr>
        <w:t xml:space="preserve"> mois. Il</w:t>
      </w:r>
      <w:r w:rsidRPr="007A36FF">
        <w:rPr>
          <w:rFonts w:cstheme="minorHAnsi"/>
          <w:szCs w:val="22"/>
          <w:lang w:val="fr-BE"/>
        </w:rPr>
        <w:t xml:space="preserve"> n’est pas prévu de reconduction du marché. L’exécution des services prévus au présent cahier spécial des charges doit  être terminée dans le délai prévu, conformément au </w:t>
      </w:r>
      <w:r w:rsidRPr="00511B64">
        <w:rPr>
          <w:rFonts w:cstheme="minorHAnsi"/>
          <w:szCs w:val="22"/>
          <w:lang w:val="fr-BE"/>
        </w:rPr>
        <w:t xml:space="preserve">point </w:t>
      </w:r>
      <w:r w:rsidR="00E65EC6" w:rsidRPr="00511B64">
        <w:rPr>
          <w:rFonts w:cstheme="minorHAnsi"/>
          <w:szCs w:val="22"/>
          <w:lang w:val="fr-BE"/>
        </w:rPr>
        <w:t>A14</w:t>
      </w:r>
      <w:r w:rsidRPr="00511B64">
        <w:rPr>
          <w:rFonts w:cstheme="minorHAnsi"/>
          <w:szCs w:val="22"/>
          <w:lang w:val="fr-BE"/>
        </w:rPr>
        <w:t>.</w:t>
      </w:r>
    </w:p>
    <w:p w14:paraId="27558998" w14:textId="51B9DF38" w:rsidR="009875B8" w:rsidRPr="00D36FA2" w:rsidRDefault="009875B8" w:rsidP="004962DA">
      <w:pPr>
        <w:pStyle w:val="Vade-mecumtitre1"/>
        <w:numPr>
          <w:ilvl w:val="0"/>
          <w:numId w:val="0"/>
        </w:numPr>
        <w:ind w:left="432" w:hanging="432"/>
        <w:rPr>
          <w:lang w:val="fr-BE"/>
        </w:rPr>
      </w:pPr>
      <w:bookmarkStart w:id="36" w:name="_Toc529699964"/>
      <w:bookmarkStart w:id="37" w:name="_Toc529700580"/>
      <w:bookmarkStart w:id="38" w:name="_Toc529747436"/>
      <w:bookmarkStart w:id="39" w:name="_Toc230680"/>
      <w:bookmarkStart w:id="40" w:name="_Toc230734"/>
      <w:bookmarkStart w:id="41" w:name="_Toc12079529"/>
      <w:bookmarkStart w:id="42" w:name="_Toc12862725"/>
      <w:bookmarkStart w:id="43" w:name="_Toc19591184"/>
      <w:bookmarkStart w:id="44" w:name="_Toc232304298"/>
      <w:bookmarkStart w:id="45" w:name="_Toc347134724"/>
      <w:bookmarkStart w:id="46" w:name="_Toc486524196"/>
      <w:bookmarkStart w:id="47" w:name="_Toc487533658"/>
      <w:bookmarkStart w:id="48" w:name="_Toc12453029"/>
      <w:bookmarkStart w:id="49" w:name="_Toc77719395"/>
      <w:bookmarkStart w:id="50" w:name="_Toc108509928"/>
      <w:bookmarkStart w:id="51" w:name="_Toc117603191"/>
      <w:bookmarkEnd w:id="35"/>
      <w:r w:rsidRPr="00D36FA2">
        <w:rPr>
          <w:lang w:val="fr-BE"/>
        </w:rPr>
        <w:t xml:space="preserve">A3.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E86DEE" w:rsidRPr="00D36FA2">
        <w:rPr>
          <w:lang w:val="fr-BE"/>
        </w:rPr>
        <w:t>Pouvoir adjudicateur</w:t>
      </w:r>
      <w:bookmarkEnd w:id="51"/>
    </w:p>
    <w:p w14:paraId="3B564AA5" w14:textId="70B3A53D" w:rsidR="00D36FA2" w:rsidRPr="00D36FA2" w:rsidRDefault="00D36FA2" w:rsidP="00D36FA2">
      <w:pPr>
        <w:snapToGrid w:val="0"/>
        <w:spacing w:line="240" w:lineRule="auto"/>
        <w:jc w:val="left"/>
        <w:rPr>
          <w:rFonts w:cstheme="minorHAnsi"/>
          <w:szCs w:val="22"/>
          <w:lang w:val="fr-BE"/>
        </w:rPr>
      </w:pPr>
      <w:bookmarkStart w:id="52" w:name="_Toc44837553"/>
      <w:bookmarkStart w:id="53" w:name="_Toc44838136"/>
      <w:bookmarkStart w:id="54" w:name="_Toc486513959"/>
      <w:bookmarkStart w:id="55" w:name="_Toc486524197"/>
      <w:bookmarkStart w:id="56" w:name="_Toc487533659"/>
      <w:r w:rsidRPr="00D36FA2">
        <w:rPr>
          <w:rFonts w:cstheme="minorHAnsi"/>
          <w:szCs w:val="22"/>
          <w:lang w:val="fr-BE"/>
        </w:rPr>
        <w:t xml:space="preserve">Le pouvoir adjudicateur est le </w:t>
      </w:r>
      <w:r w:rsidR="008E6627">
        <w:rPr>
          <w:rFonts w:cstheme="minorHAnsi"/>
          <w:szCs w:val="22"/>
          <w:lang w:val="fr-BE"/>
        </w:rPr>
        <w:t>SPF Affaires</w:t>
      </w:r>
      <w:r w:rsidRPr="00D36FA2">
        <w:rPr>
          <w:rFonts w:cstheme="minorHAnsi"/>
          <w:szCs w:val="22"/>
          <w:lang w:val="fr-BE"/>
        </w:rPr>
        <w:t xml:space="preserve"> étrangères, Commerce extérieur et Coopération au Développement, représenté par:</w:t>
      </w:r>
    </w:p>
    <w:p w14:paraId="787A7A6C" w14:textId="31A1A78C" w:rsidR="00D36FA2" w:rsidRPr="00D36FA2" w:rsidRDefault="009F3B46" w:rsidP="00D36FA2">
      <w:pPr>
        <w:snapToGrid w:val="0"/>
        <w:spacing w:line="240" w:lineRule="auto"/>
        <w:jc w:val="left"/>
        <w:rPr>
          <w:rFonts w:cstheme="minorHAnsi"/>
          <w:szCs w:val="22"/>
          <w:lang w:val="fr-BE"/>
        </w:rPr>
      </w:pPr>
      <w:r>
        <w:rPr>
          <w:rFonts w:cstheme="minorHAnsi"/>
          <w:szCs w:val="22"/>
          <w:lang w:val="fr-BE"/>
        </w:rPr>
        <w:t xml:space="preserve">Le </w:t>
      </w:r>
      <w:r w:rsidR="00D36FA2" w:rsidRPr="00D36FA2">
        <w:rPr>
          <w:rFonts w:cstheme="minorHAnsi"/>
          <w:szCs w:val="22"/>
          <w:lang w:val="fr-BE"/>
        </w:rPr>
        <w:t>Service de l’Evaluation spéciale de la Coopération belge au Développement (S</w:t>
      </w:r>
      <w:r w:rsidR="00D36FA2">
        <w:rPr>
          <w:rFonts w:cstheme="minorHAnsi"/>
          <w:szCs w:val="22"/>
          <w:lang w:val="fr-BE"/>
        </w:rPr>
        <w:t>2</w:t>
      </w:r>
      <w:r w:rsidR="00D36FA2" w:rsidRPr="00D36FA2">
        <w:rPr>
          <w:rFonts w:cstheme="minorHAnsi"/>
          <w:szCs w:val="22"/>
          <w:lang w:val="fr-BE"/>
        </w:rPr>
        <w:t>)</w:t>
      </w:r>
    </w:p>
    <w:p w14:paraId="4FCAB754" w14:textId="28CB69D7" w:rsidR="00D36FA2" w:rsidRPr="009F3B46" w:rsidRDefault="00D36FA2" w:rsidP="00D36FA2">
      <w:pPr>
        <w:snapToGrid w:val="0"/>
        <w:spacing w:line="240" w:lineRule="auto"/>
        <w:jc w:val="left"/>
        <w:rPr>
          <w:rFonts w:cstheme="minorHAnsi"/>
          <w:szCs w:val="22"/>
          <w:lang w:val="fr-BE"/>
        </w:rPr>
      </w:pPr>
      <w:r w:rsidRPr="00D36FA2">
        <w:rPr>
          <w:rFonts w:cstheme="minorHAnsi"/>
          <w:szCs w:val="22"/>
          <w:lang w:val="fr-BE"/>
        </w:rPr>
        <w:t>Rue des Petits Carmes, 15</w:t>
      </w:r>
      <w:r w:rsidR="009F3B46">
        <w:rPr>
          <w:rFonts w:cstheme="minorHAnsi"/>
          <w:szCs w:val="22"/>
          <w:lang w:val="fr-BE"/>
        </w:rPr>
        <w:br/>
      </w:r>
      <w:r w:rsidRPr="00D36FA2">
        <w:rPr>
          <w:rFonts w:cstheme="minorHAnsi"/>
          <w:szCs w:val="22"/>
          <w:lang w:val="fr-BE"/>
        </w:rPr>
        <w:t>B-1000 Bruxelles</w:t>
      </w:r>
      <w:r w:rsidR="009F3B46">
        <w:rPr>
          <w:rFonts w:cstheme="minorHAnsi"/>
          <w:szCs w:val="22"/>
          <w:lang w:val="fr-BE"/>
        </w:rPr>
        <w:br/>
      </w:r>
      <w:r w:rsidRPr="009F3B46">
        <w:rPr>
          <w:rFonts w:cstheme="minorHAnsi"/>
          <w:szCs w:val="22"/>
          <w:lang w:val="fr-BE"/>
        </w:rPr>
        <w:t>Belgique</w:t>
      </w:r>
    </w:p>
    <w:p w14:paraId="5CCE10C6" w14:textId="7FBB9138" w:rsidR="009875B8" w:rsidRPr="007144C0" w:rsidRDefault="00AF3BDD" w:rsidP="00F83268">
      <w:pPr>
        <w:snapToGrid w:val="0"/>
        <w:spacing w:line="240" w:lineRule="auto"/>
        <w:jc w:val="left"/>
        <w:rPr>
          <w:rFonts w:cstheme="minorHAnsi"/>
          <w:szCs w:val="22"/>
          <w:lang w:val="fr-BE"/>
        </w:rPr>
      </w:pPr>
      <w:r w:rsidRPr="007144C0">
        <w:rPr>
          <w:rFonts w:cstheme="minorHAnsi"/>
          <w:szCs w:val="22"/>
          <w:lang w:val="fr-BE"/>
        </w:rPr>
        <w:lastRenderedPageBreak/>
        <w:t>Ivo Ho</w:t>
      </w:r>
      <w:r w:rsidRPr="00511B64">
        <w:rPr>
          <w:rFonts w:cstheme="minorHAnsi"/>
          <w:szCs w:val="22"/>
          <w:lang w:val="fr-BE"/>
        </w:rPr>
        <w:t>oghe</w:t>
      </w:r>
      <w:r w:rsidR="009875B8" w:rsidRPr="007144C0">
        <w:rPr>
          <w:rFonts w:cstheme="minorHAnsi"/>
          <w:szCs w:val="22"/>
          <w:lang w:val="fr-BE"/>
        </w:rPr>
        <w:br/>
        <w:t xml:space="preserve">Tel: +32 (0)2 501 </w:t>
      </w:r>
      <w:r w:rsidR="009D6C68" w:rsidRPr="00511B64">
        <w:rPr>
          <w:rFonts w:cstheme="minorHAnsi"/>
          <w:szCs w:val="22"/>
          <w:lang w:val="fr-BE"/>
        </w:rPr>
        <w:t>86 76</w:t>
      </w:r>
      <w:r w:rsidR="009875B8" w:rsidRPr="007144C0">
        <w:rPr>
          <w:rFonts w:cstheme="minorHAnsi"/>
          <w:szCs w:val="22"/>
          <w:lang w:val="fr-BE"/>
        </w:rPr>
        <w:br/>
        <w:t xml:space="preserve">Email: </w:t>
      </w:r>
      <w:r w:rsidR="009D6C68" w:rsidRPr="00511B64">
        <w:rPr>
          <w:rFonts w:cs="Calibri"/>
          <w:color w:val="0000FF" w:themeColor="hyperlink"/>
          <w:szCs w:val="22"/>
          <w:u w:val="single"/>
          <w:lang w:val="fr-BE" w:eastAsia="nl-NL"/>
        </w:rPr>
        <w:t>ivo.hooghe</w:t>
      </w:r>
      <w:r w:rsidR="009875B8" w:rsidRPr="007144C0">
        <w:rPr>
          <w:rFonts w:cs="Calibri"/>
          <w:color w:val="0000FF" w:themeColor="hyperlink"/>
          <w:szCs w:val="22"/>
          <w:u w:val="single"/>
          <w:lang w:val="fr-BE" w:eastAsia="nl-NL"/>
        </w:rPr>
        <w:t>@diplobel.fed.be</w:t>
      </w:r>
    </w:p>
    <w:p w14:paraId="68667384" w14:textId="02F05072" w:rsidR="009875B8" w:rsidRPr="00F83268" w:rsidRDefault="00870656" w:rsidP="009875B8">
      <w:pPr>
        <w:snapToGrid w:val="0"/>
        <w:spacing w:after="120" w:line="240" w:lineRule="auto"/>
        <w:jc w:val="both"/>
        <w:rPr>
          <w:rFonts w:cstheme="minorHAnsi"/>
          <w:szCs w:val="22"/>
          <w:lang w:val="fr-BE"/>
        </w:rPr>
      </w:pPr>
      <w:r w:rsidRPr="00F83268">
        <w:rPr>
          <w:rFonts w:cstheme="minorHAnsi"/>
          <w:szCs w:val="22"/>
          <w:lang w:val="fr-BE"/>
        </w:rPr>
        <w:t>Aussi longtemps que le pouvoir adjudicateur n’a pas pris de décision au sujet de la sélection ou de la régularité des offres, de l’attribution du marché ou de la renonciation à l’attribution ou à la conclusion du marché, les soumissionnaires et les tiers n’ont aucun accès aux documents relatifs à la procédure de passation, notamment aux offres et aux documents internes du pouvoir adjudicateur.</w:t>
      </w:r>
    </w:p>
    <w:p w14:paraId="3D6A7348" w14:textId="526F801F" w:rsidR="009875B8" w:rsidRPr="00A53D39" w:rsidRDefault="009875B8" w:rsidP="004962DA">
      <w:pPr>
        <w:pStyle w:val="Vade-mecumtitre1"/>
        <w:numPr>
          <w:ilvl w:val="0"/>
          <w:numId w:val="0"/>
        </w:numPr>
        <w:ind w:left="432" w:hanging="432"/>
        <w:rPr>
          <w:lang w:val="fr-BE"/>
        </w:rPr>
      </w:pPr>
      <w:bookmarkStart w:id="57" w:name="_Toc12453030"/>
      <w:bookmarkStart w:id="58" w:name="_Toc77719396"/>
      <w:bookmarkStart w:id="59" w:name="_Toc108509929"/>
      <w:bookmarkStart w:id="60" w:name="_Toc117603192"/>
      <w:r w:rsidRPr="009875B8">
        <w:t xml:space="preserve">A4. </w:t>
      </w:r>
      <w:bookmarkEnd w:id="52"/>
      <w:bookmarkEnd w:id="53"/>
      <w:bookmarkEnd w:id="54"/>
      <w:bookmarkEnd w:id="55"/>
      <w:bookmarkEnd w:id="56"/>
      <w:bookmarkEnd w:id="57"/>
      <w:bookmarkEnd w:id="58"/>
      <w:bookmarkEnd w:id="59"/>
      <w:r w:rsidR="000931E0" w:rsidRPr="00A53D39">
        <w:rPr>
          <w:lang w:val="fr-BE"/>
        </w:rPr>
        <w:t>Informations complémentaires</w:t>
      </w:r>
      <w:bookmarkEnd w:id="60"/>
    </w:p>
    <w:p w14:paraId="0CEB7F11" w14:textId="3E1DF9E1" w:rsidR="009429D5" w:rsidRPr="00A53D39" w:rsidRDefault="009429D5" w:rsidP="004962DA">
      <w:pPr>
        <w:pStyle w:val="Vade-mecumtitre2"/>
      </w:pPr>
      <w:bookmarkStart w:id="61" w:name="_Toc113544436"/>
      <w:bookmarkStart w:id="62" w:name="_Toc114066738"/>
      <w:bookmarkStart w:id="63" w:name="_Toc116387730"/>
      <w:bookmarkStart w:id="64" w:name="_Toc117603193"/>
      <w:r w:rsidRPr="00A53D39">
        <w:t xml:space="preserve">A4.1 </w:t>
      </w:r>
      <w:bookmarkEnd w:id="61"/>
      <w:bookmarkEnd w:id="62"/>
      <w:r w:rsidR="00982300" w:rsidRPr="00A53D39">
        <w:t>Session d’information</w:t>
      </w:r>
      <w:bookmarkEnd w:id="63"/>
      <w:bookmarkEnd w:id="64"/>
    </w:p>
    <w:p w14:paraId="0DE8DBCE" w14:textId="77777777" w:rsidR="00E541DA" w:rsidRPr="00E541DA" w:rsidRDefault="00E541DA" w:rsidP="009429D5">
      <w:pPr>
        <w:spacing w:before="200" w:after="0" w:line="240" w:lineRule="auto"/>
        <w:jc w:val="both"/>
        <w:rPr>
          <w:rFonts w:eastAsia="Times New Roman" w:cs="Times New Roman"/>
          <w:szCs w:val="22"/>
          <w:lang w:val="fr-BE"/>
        </w:rPr>
      </w:pPr>
      <w:bookmarkStart w:id="65" w:name="_Toc529699965"/>
      <w:bookmarkStart w:id="66" w:name="_Toc529700581"/>
      <w:bookmarkStart w:id="67" w:name="_Toc529747437"/>
      <w:bookmarkStart w:id="68" w:name="_Toc230681"/>
      <w:bookmarkStart w:id="69" w:name="_Toc230735"/>
      <w:bookmarkStart w:id="70" w:name="_Toc12079530"/>
      <w:bookmarkStart w:id="71" w:name="_Toc12862726"/>
      <w:bookmarkStart w:id="72" w:name="_Toc19591185"/>
      <w:bookmarkStart w:id="73" w:name="_Toc232304300"/>
      <w:bookmarkStart w:id="74" w:name="_Toc347134726"/>
      <w:bookmarkStart w:id="75" w:name="_Toc486524200"/>
      <w:bookmarkStart w:id="76" w:name="_Toc487533662"/>
      <w:bookmarkStart w:id="77" w:name="_Toc12453033"/>
      <w:bookmarkStart w:id="78" w:name="_Toc77719397"/>
      <w:r w:rsidRPr="00E541DA">
        <w:rPr>
          <w:rFonts w:eastAsia="Times New Roman" w:cs="Times New Roman"/>
          <w:szCs w:val="22"/>
          <w:lang w:val="fr-BE"/>
        </w:rPr>
        <w:t>Compte tenu de la complexité du marché, le pouvoir adjudicateur a décidé d'organiser une session d'information avec les soumissionnaires potentiels. Ces derniers peuvent poser leurs questions et participer à la session d'information. La session d'information aura lieu entre la date de publication de l'avis de marché et la date limite de soumission des offres.</w:t>
      </w:r>
    </w:p>
    <w:p w14:paraId="37350A57" w14:textId="70697F2A" w:rsidR="009429D5" w:rsidRPr="002B0864" w:rsidRDefault="00DB0805" w:rsidP="4ACBC61A">
      <w:pPr>
        <w:spacing w:before="200" w:after="0" w:line="240" w:lineRule="auto"/>
        <w:jc w:val="both"/>
        <w:rPr>
          <w:rFonts w:eastAsia="Times New Roman" w:cs="Times New Roman"/>
          <w:lang w:val="fr-BE"/>
        </w:rPr>
      </w:pPr>
      <w:r w:rsidRPr="4ACBC61A">
        <w:rPr>
          <w:rFonts w:eastAsia="Times New Roman" w:cs="Times New Roman"/>
          <w:lang w:val="fr-BE"/>
        </w:rPr>
        <w:t>Cette session d’information se tiendra le</w:t>
      </w:r>
      <w:r w:rsidR="0021315C">
        <w:rPr>
          <w:rFonts w:eastAsia="Times New Roman" w:cs="Times New Roman"/>
          <w:lang w:val="fr-BE"/>
        </w:rPr>
        <w:t xml:space="preserve"> </w:t>
      </w:r>
      <w:r w:rsidR="00912B5F">
        <w:rPr>
          <w:rFonts w:eastAsia="Times New Roman" w:cs="Times New Roman"/>
          <w:lang w:val="fr-BE"/>
        </w:rPr>
        <w:t>20</w:t>
      </w:r>
      <w:r w:rsidR="00AF621E">
        <w:rPr>
          <w:rFonts w:eastAsia="Times New Roman" w:cs="Times New Roman"/>
          <w:lang w:val="fr-BE"/>
        </w:rPr>
        <w:t xml:space="preserve"> décembre</w:t>
      </w:r>
      <w:r w:rsidR="009D6C68" w:rsidRPr="4ACBC61A">
        <w:rPr>
          <w:rFonts w:eastAsia="Times New Roman" w:cs="Times New Roman"/>
          <w:lang w:val="fr-BE"/>
        </w:rPr>
        <w:t xml:space="preserve"> </w:t>
      </w:r>
      <w:r w:rsidR="00CD0193">
        <w:rPr>
          <w:rFonts w:eastAsia="Times New Roman" w:cs="Times New Roman"/>
          <w:lang w:val="fr-BE"/>
        </w:rPr>
        <w:t xml:space="preserve">2022 </w:t>
      </w:r>
      <w:r w:rsidRPr="4ACBC61A">
        <w:rPr>
          <w:rFonts w:eastAsia="Times New Roman" w:cs="Times New Roman"/>
          <w:lang w:val="fr-BE"/>
        </w:rPr>
        <w:t>à</w:t>
      </w:r>
      <w:r w:rsidR="009429D5" w:rsidRPr="4ACBC61A">
        <w:rPr>
          <w:rFonts w:eastAsia="Times New Roman" w:cs="Times New Roman"/>
          <w:lang w:val="fr-BE"/>
        </w:rPr>
        <w:t xml:space="preserve"> </w:t>
      </w:r>
      <w:r w:rsidR="009D6C68" w:rsidRPr="4ACBC61A">
        <w:rPr>
          <w:rFonts w:eastAsia="Times New Roman" w:cs="Times New Roman"/>
          <w:lang w:val="fr-BE"/>
        </w:rPr>
        <w:t>11h</w:t>
      </w:r>
      <w:r w:rsidR="00E039D5">
        <w:rPr>
          <w:rFonts w:eastAsia="Times New Roman" w:cs="Times New Roman"/>
          <w:lang w:val="fr-BE"/>
        </w:rPr>
        <w:t>00</w:t>
      </w:r>
      <w:r w:rsidR="009429D5" w:rsidRPr="4ACBC61A">
        <w:rPr>
          <w:rFonts w:eastAsia="Times New Roman" w:cs="Times New Roman"/>
          <w:lang w:val="fr-BE"/>
        </w:rPr>
        <w:t xml:space="preserve"> </w:t>
      </w:r>
      <w:r w:rsidR="00291686" w:rsidRPr="4ACBC61A">
        <w:rPr>
          <w:rFonts w:eastAsia="Times New Roman" w:cs="Times New Roman"/>
          <w:lang w:val="fr-BE"/>
        </w:rPr>
        <w:t xml:space="preserve">sur Teams. </w:t>
      </w:r>
      <w:r w:rsidR="004669DA" w:rsidRPr="00511B64">
        <w:rPr>
          <w:lang w:val="fr-BE"/>
        </w:rPr>
        <w:t xml:space="preserve"> </w:t>
      </w:r>
      <w:r w:rsidR="004669DA" w:rsidRPr="4ACBC61A">
        <w:rPr>
          <w:rFonts w:eastAsia="Times New Roman" w:cs="Times New Roman"/>
          <w:lang w:val="fr-BE"/>
        </w:rPr>
        <w:t xml:space="preserve">Le lien sera transmis aux personnes inscrites avant le </w:t>
      </w:r>
      <w:r w:rsidR="00F1033A">
        <w:rPr>
          <w:rFonts w:eastAsia="Times New Roman" w:cs="Times New Roman"/>
          <w:lang w:val="fr-BE"/>
        </w:rPr>
        <w:t>19</w:t>
      </w:r>
      <w:r w:rsidR="000030C0">
        <w:rPr>
          <w:rFonts w:eastAsia="Times New Roman" w:cs="Times New Roman"/>
          <w:lang w:val="fr-BE"/>
        </w:rPr>
        <w:t xml:space="preserve"> décembre</w:t>
      </w:r>
      <w:r w:rsidR="00CD0193">
        <w:rPr>
          <w:rFonts w:eastAsia="Times New Roman" w:cs="Times New Roman"/>
          <w:lang w:val="fr-BE"/>
        </w:rPr>
        <w:t xml:space="preserve"> 2022</w:t>
      </w:r>
      <w:r w:rsidR="004669DA" w:rsidRPr="4ACBC61A">
        <w:rPr>
          <w:rFonts w:eastAsia="Times New Roman" w:cs="Times New Roman"/>
          <w:lang w:val="fr-BE"/>
        </w:rPr>
        <w:t xml:space="preserve"> à 11h</w:t>
      </w:r>
      <w:r w:rsidR="00E039D5">
        <w:rPr>
          <w:rFonts w:eastAsia="Times New Roman" w:cs="Times New Roman"/>
          <w:lang w:val="fr-BE"/>
        </w:rPr>
        <w:t>00</w:t>
      </w:r>
      <w:r w:rsidR="004669DA" w:rsidRPr="4ACBC61A">
        <w:rPr>
          <w:rFonts w:eastAsia="Times New Roman" w:cs="Times New Roman"/>
          <w:lang w:val="fr-BE"/>
        </w:rPr>
        <w:t>.</w:t>
      </w:r>
    </w:p>
    <w:p w14:paraId="08DA7A35" w14:textId="742B4075" w:rsidR="009429D5" w:rsidRPr="002B0864" w:rsidRDefault="002B0864" w:rsidP="009429D5">
      <w:pPr>
        <w:spacing w:before="200" w:after="0" w:line="240" w:lineRule="auto"/>
        <w:jc w:val="both"/>
        <w:rPr>
          <w:rFonts w:eastAsia="Times New Roman" w:cs="Times New Roman"/>
          <w:szCs w:val="22"/>
          <w:lang w:val="fr-BE"/>
        </w:rPr>
      </w:pPr>
      <w:r w:rsidRPr="002B0864">
        <w:rPr>
          <w:rFonts w:eastAsia="Times New Roman" w:cs="Times New Roman"/>
          <w:szCs w:val="22"/>
          <w:lang w:val="fr-BE"/>
        </w:rPr>
        <w:t>Un court aperçu de l’objet du marché sera fourni lors de cette session d’information.</w:t>
      </w:r>
    </w:p>
    <w:p w14:paraId="5C3BC755" w14:textId="76134665" w:rsidR="00F045AB" w:rsidRDefault="00F35AFD" w:rsidP="009429D5">
      <w:pPr>
        <w:spacing w:before="200" w:after="0" w:line="240" w:lineRule="auto"/>
        <w:jc w:val="both"/>
        <w:rPr>
          <w:rFonts w:eastAsia="Times New Roman" w:cs="Times New Roman"/>
          <w:szCs w:val="22"/>
          <w:lang w:val="fr-BE"/>
        </w:rPr>
      </w:pPr>
      <w:r w:rsidRPr="00F35AFD">
        <w:rPr>
          <w:rFonts w:eastAsia="Times New Roman" w:cs="Times New Roman"/>
          <w:szCs w:val="22"/>
          <w:lang w:val="fr-BE"/>
        </w:rPr>
        <w:t xml:space="preserve">Afin de permettre un déroulement correct de la session d’information, les soumissionnaires potentiels qui souhaitent y assister sont priés de faire parvenir leurs questions au pouvoir adjudicateur exclusivement à l’adresse e-mail suivante: </w:t>
      </w:r>
      <w:hyperlink r:id="rId24" w:history="1">
        <w:r w:rsidR="00812B09" w:rsidRPr="00B14FB1">
          <w:rPr>
            <w:rStyle w:val="Hyperlink"/>
            <w:rFonts w:eastAsia="Times New Roman" w:cs="Times New Roman"/>
            <w:szCs w:val="22"/>
            <w:lang w:val="fr-BE"/>
          </w:rPr>
          <w:t>ivo.hooghe@diplobel.fed.be</w:t>
        </w:r>
      </w:hyperlink>
    </w:p>
    <w:p w14:paraId="669312CC" w14:textId="5A9E9AEF" w:rsidR="00F045AB" w:rsidRDefault="00F045AB" w:rsidP="3586E409">
      <w:pPr>
        <w:spacing w:before="200" w:after="0" w:line="240" w:lineRule="auto"/>
        <w:jc w:val="both"/>
        <w:rPr>
          <w:rFonts w:eastAsia="Times New Roman" w:cs="Times New Roman"/>
          <w:lang w:val="fr-BE"/>
        </w:rPr>
      </w:pPr>
      <w:r w:rsidRPr="799E2DB0">
        <w:rPr>
          <w:rFonts w:eastAsia="Times New Roman" w:cs="Times New Roman"/>
          <w:lang w:val="fr-BE"/>
        </w:rPr>
        <w:t xml:space="preserve">Seules les questions qui seront parvenues au pouvoir adjudicateur au plus tard le </w:t>
      </w:r>
      <w:r w:rsidR="00F1033A">
        <w:rPr>
          <w:rFonts w:eastAsia="Times New Roman" w:cs="Times New Roman"/>
          <w:lang w:val="fr-BE"/>
        </w:rPr>
        <w:t>19</w:t>
      </w:r>
      <w:r w:rsidR="000030C0">
        <w:rPr>
          <w:rFonts w:eastAsia="Times New Roman" w:cs="Times New Roman"/>
          <w:lang w:val="fr-BE"/>
        </w:rPr>
        <w:t xml:space="preserve"> dé</w:t>
      </w:r>
      <w:r w:rsidR="00883251">
        <w:rPr>
          <w:rFonts w:eastAsia="Times New Roman" w:cs="Times New Roman"/>
          <w:lang w:val="fr-BE"/>
        </w:rPr>
        <w:t>cembre</w:t>
      </w:r>
      <w:r w:rsidRPr="799E2DB0">
        <w:rPr>
          <w:rFonts w:eastAsia="Times New Roman" w:cs="Times New Roman"/>
          <w:lang w:val="fr-BE"/>
        </w:rPr>
        <w:t xml:space="preserve"> </w:t>
      </w:r>
      <w:r w:rsidR="00CD0193">
        <w:rPr>
          <w:rFonts w:eastAsia="Times New Roman" w:cs="Times New Roman"/>
          <w:lang w:val="fr-BE"/>
        </w:rPr>
        <w:t xml:space="preserve">2022 </w:t>
      </w:r>
      <w:r w:rsidRPr="799E2DB0">
        <w:rPr>
          <w:rFonts w:eastAsia="Times New Roman" w:cs="Times New Roman"/>
          <w:lang w:val="fr-BE"/>
        </w:rPr>
        <w:t xml:space="preserve">à </w:t>
      </w:r>
      <w:r w:rsidR="5616CEF5" w:rsidRPr="799E2DB0">
        <w:rPr>
          <w:rFonts w:eastAsia="Times New Roman" w:cs="Times New Roman"/>
          <w:lang w:val="fr-BE"/>
        </w:rPr>
        <w:t>1</w:t>
      </w:r>
      <w:r w:rsidR="12B4DB3E" w:rsidRPr="799E2DB0">
        <w:rPr>
          <w:rFonts w:eastAsia="Times New Roman" w:cs="Times New Roman"/>
          <w:lang w:val="fr-BE"/>
        </w:rPr>
        <w:t>1</w:t>
      </w:r>
      <w:r w:rsidR="5616CEF5" w:rsidRPr="799E2DB0">
        <w:rPr>
          <w:rFonts w:eastAsia="Times New Roman" w:cs="Times New Roman"/>
          <w:lang w:val="fr-BE"/>
        </w:rPr>
        <w:t>h</w:t>
      </w:r>
      <w:r w:rsidR="00E039D5">
        <w:rPr>
          <w:rFonts w:eastAsia="Times New Roman" w:cs="Times New Roman"/>
          <w:lang w:val="fr-BE"/>
        </w:rPr>
        <w:t>00</w:t>
      </w:r>
      <w:r w:rsidRPr="799E2DB0">
        <w:rPr>
          <w:rFonts w:eastAsia="Times New Roman" w:cs="Times New Roman"/>
          <w:lang w:val="fr-BE"/>
        </w:rPr>
        <w:t xml:space="preserve"> seront traitées pendant cette session.</w:t>
      </w:r>
    </w:p>
    <w:p w14:paraId="119B92DD" w14:textId="4D2DFFEE" w:rsidR="00776AF4" w:rsidRDefault="00776AF4" w:rsidP="00776AF4">
      <w:pPr>
        <w:spacing w:before="200" w:after="0" w:line="240" w:lineRule="auto"/>
        <w:jc w:val="both"/>
        <w:rPr>
          <w:rFonts w:eastAsia="Times New Roman" w:cs="Times New Roman"/>
          <w:szCs w:val="22"/>
          <w:lang w:val="fr-BE"/>
        </w:rPr>
      </w:pPr>
      <w:r w:rsidRPr="00776AF4">
        <w:rPr>
          <w:rFonts w:eastAsia="Times New Roman" w:cs="Times New Roman"/>
          <w:szCs w:val="22"/>
          <w:lang w:val="fr-BE"/>
        </w:rPr>
        <w:t>Au début de réunion, il sera demandé aux personnes présentes de mentionner l’identité de l’entreprise qu’elles représentent.</w:t>
      </w:r>
    </w:p>
    <w:p w14:paraId="32171555" w14:textId="6BA57ECB" w:rsidR="00EB28A7" w:rsidRDefault="00776AF4" w:rsidP="00776AF4">
      <w:pPr>
        <w:spacing w:before="200" w:after="0" w:line="240" w:lineRule="auto"/>
        <w:jc w:val="both"/>
        <w:rPr>
          <w:rFonts w:eastAsia="Times New Roman" w:cs="Times New Roman"/>
          <w:szCs w:val="22"/>
          <w:lang w:val="fr-BE"/>
        </w:rPr>
      </w:pPr>
      <w:r w:rsidRPr="00776AF4">
        <w:rPr>
          <w:rFonts w:eastAsia="Times New Roman" w:cs="Times New Roman"/>
          <w:szCs w:val="22"/>
          <w:lang w:val="fr-BE"/>
        </w:rPr>
        <w:t xml:space="preserve">À l’issue de la session d’information, le pouvoir adjudicateur publiera le procès-verbal de la session d’information sur le site </w:t>
      </w:r>
      <w:hyperlink r:id="rId25" w:history="1">
        <w:r w:rsidRPr="00CA4052">
          <w:rPr>
            <w:rStyle w:val="Hyperlink"/>
            <w:rFonts w:eastAsia="Times New Roman" w:cs="Times New Roman"/>
            <w:szCs w:val="22"/>
            <w:lang w:val="fr-BE"/>
          </w:rPr>
          <w:t>https://enot.publicprocurement.be</w:t>
        </w:r>
      </w:hyperlink>
      <w:r>
        <w:rPr>
          <w:rFonts w:eastAsia="Times New Roman" w:cs="Times New Roman"/>
          <w:szCs w:val="22"/>
          <w:lang w:val="fr-BE"/>
        </w:rPr>
        <w:t xml:space="preserve">. </w:t>
      </w:r>
      <w:bookmarkStart w:id="79" w:name="_Toc113544437"/>
      <w:bookmarkStart w:id="80" w:name="_Toc114066739"/>
    </w:p>
    <w:p w14:paraId="3B335117" w14:textId="19B9746F" w:rsidR="009875B8" w:rsidRPr="006232EF" w:rsidRDefault="009875B8" w:rsidP="008D6D08">
      <w:pPr>
        <w:pStyle w:val="Vade-mecumtitre1"/>
        <w:numPr>
          <w:ilvl w:val="0"/>
          <w:numId w:val="0"/>
        </w:numPr>
        <w:rPr>
          <w:lang w:val="fr-BE"/>
        </w:rPr>
      </w:pPr>
      <w:bookmarkStart w:id="81" w:name="_Toc108509930"/>
      <w:bookmarkStart w:id="82" w:name="_Toc117603194"/>
      <w:bookmarkEnd w:id="79"/>
      <w:bookmarkEnd w:id="80"/>
      <w:r w:rsidRPr="006232EF">
        <w:rPr>
          <w:lang w:val="fr-BE"/>
        </w:rPr>
        <w:t xml:space="preserve">A5. </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81"/>
      <w:r w:rsidR="006232EF">
        <w:rPr>
          <w:lang w:val="fr-BE"/>
        </w:rPr>
        <w:t>D</w:t>
      </w:r>
      <w:r w:rsidR="006232EF" w:rsidRPr="006232EF">
        <w:rPr>
          <w:lang w:val="fr-BE"/>
        </w:rPr>
        <w:t>roit d'introduction et ouverte des offres</w:t>
      </w:r>
      <w:bookmarkEnd w:id="82"/>
    </w:p>
    <w:p w14:paraId="3ABAA3D7" w14:textId="5D2B12BA" w:rsidR="009875B8" w:rsidRPr="00CF61E7" w:rsidRDefault="009875B8" w:rsidP="00CF61E7">
      <w:pPr>
        <w:pStyle w:val="Vade-mecumtitre2"/>
      </w:pPr>
      <w:bookmarkStart w:id="83" w:name="_Toc486870123"/>
      <w:bookmarkStart w:id="84" w:name="_Toc487190652"/>
      <w:bookmarkStart w:id="85" w:name="_Toc487533663"/>
      <w:bookmarkStart w:id="86" w:name="_Toc487533723"/>
      <w:bookmarkStart w:id="87" w:name="_Toc487533833"/>
      <w:bookmarkStart w:id="88" w:name="_Toc487533940"/>
      <w:bookmarkStart w:id="89" w:name="_Toc487533996"/>
      <w:bookmarkStart w:id="90" w:name="_Toc488142775"/>
      <w:bookmarkStart w:id="91" w:name="_Toc488315565"/>
      <w:bookmarkStart w:id="92" w:name="_Toc488315656"/>
      <w:bookmarkStart w:id="93" w:name="_Toc487533664"/>
      <w:bookmarkStart w:id="94" w:name="_Toc12453034"/>
      <w:bookmarkStart w:id="95" w:name="_Toc108509931"/>
      <w:bookmarkStart w:id="96" w:name="_Toc113544439"/>
      <w:bookmarkStart w:id="97" w:name="_Toc114066741"/>
      <w:bookmarkStart w:id="98" w:name="_Toc116387733"/>
      <w:bookmarkStart w:id="99" w:name="_Toc117603195"/>
      <w:bookmarkStart w:id="100" w:name="_Toc529699966"/>
      <w:bookmarkStart w:id="101" w:name="_Toc529700582"/>
      <w:bookmarkStart w:id="102" w:name="_Toc529747438"/>
      <w:bookmarkStart w:id="103" w:name="_Toc230682"/>
      <w:bookmarkStart w:id="104" w:name="_Toc230736"/>
      <w:bookmarkStart w:id="105" w:name="_Toc12079531"/>
      <w:bookmarkStart w:id="106" w:name="_Toc12862727"/>
      <w:bookmarkStart w:id="107" w:name="_Toc19591186"/>
      <w:bookmarkStart w:id="108" w:name="_Toc232304302"/>
      <w:bookmarkEnd w:id="83"/>
      <w:bookmarkEnd w:id="84"/>
      <w:bookmarkEnd w:id="85"/>
      <w:bookmarkEnd w:id="86"/>
      <w:bookmarkEnd w:id="87"/>
      <w:bookmarkEnd w:id="88"/>
      <w:bookmarkEnd w:id="89"/>
      <w:bookmarkEnd w:id="90"/>
      <w:bookmarkEnd w:id="91"/>
      <w:bookmarkEnd w:id="92"/>
      <w:r w:rsidRPr="00CF61E7">
        <w:t xml:space="preserve">A5.1 </w:t>
      </w:r>
      <w:r w:rsidR="00CF61E7">
        <w:t>Droit</w:t>
      </w:r>
      <w:r w:rsidR="00CF61E7" w:rsidRPr="00CF61E7">
        <w:t xml:space="preserve"> et mode d’introduction des offr</w:t>
      </w:r>
      <w:r w:rsidR="00CF61E7">
        <w:t>e</w:t>
      </w:r>
      <w:r w:rsidRPr="00CF61E7">
        <w:t>s</w:t>
      </w:r>
      <w:bookmarkEnd w:id="93"/>
      <w:bookmarkEnd w:id="94"/>
      <w:bookmarkEnd w:id="95"/>
      <w:bookmarkEnd w:id="96"/>
      <w:bookmarkEnd w:id="97"/>
      <w:bookmarkEnd w:id="98"/>
      <w:bookmarkEnd w:id="99"/>
    </w:p>
    <w:p w14:paraId="556F722F" w14:textId="77777777" w:rsidR="00E42A72" w:rsidRPr="00A53619" w:rsidRDefault="00E42A72" w:rsidP="009875B8">
      <w:pPr>
        <w:widowControl w:val="0"/>
        <w:tabs>
          <w:tab w:val="left" w:pos="851"/>
        </w:tabs>
        <w:snapToGrid w:val="0"/>
        <w:spacing w:after="120" w:line="240" w:lineRule="auto"/>
        <w:ind w:firstLine="11"/>
        <w:jc w:val="both"/>
        <w:rPr>
          <w:rFonts w:cstheme="minorHAnsi"/>
          <w:szCs w:val="22"/>
          <w:lang w:val="fr-BE"/>
        </w:rPr>
      </w:pPr>
      <w:r w:rsidRPr="00E42A72">
        <w:rPr>
          <w:rFonts w:cstheme="minorHAnsi"/>
          <w:szCs w:val="22"/>
          <w:lang w:val="fr-BE"/>
        </w:rPr>
        <w:t xml:space="preserve">Sans préjudice des variantes éventuelles, chaque soumissionnaire ne peut remettre qu'une offre par marché. Chaque participant </w:t>
      </w:r>
      <w:r w:rsidRPr="00A53619">
        <w:rPr>
          <w:rFonts w:cstheme="minorHAnsi"/>
          <w:szCs w:val="22"/>
          <w:lang w:val="fr-BE"/>
        </w:rPr>
        <w:t xml:space="preserve">à un groupement d’opérateurs économiques sans personnalité juridique est considéré comme un soumissionnaire. </w:t>
      </w:r>
    </w:p>
    <w:p w14:paraId="2F13FC4B" w14:textId="1FD14098" w:rsidR="009875B8" w:rsidRDefault="00E42A72" w:rsidP="009875B8">
      <w:pPr>
        <w:widowControl w:val="0"/>
        <w:tabs>
          <w:tab w:val="left" w:pos="851"/>
        </w:tabs>
        <w:snapToGrid w:val="0"/>
        <w:spacing w:after="120" w:line="240" w:lineRule="auto"/>
        <w:ind w:firstLine="11"/>
        <w:jc w:val="both"/>
        <w:rPr>
          <w:rFonts w:cstheme="minorHAnsi"/>
          <w:szCs w:val="22"/>
          <w:lang w:val="fr-BE"/>
        </w:rPr>
      </w:pPr>
      <w:r w:rsidRPr="00A53619">
        <w:rPr>
          <w:rFonts w:cstheme="minorHAnsi"/>
          <w:szCs w:val="22"/>
          <w:lang w:val="fr-BE"/>
        </w:rPr>
        <w:t>Les participants à un groupement d’opérateurs économiques sans personnalité juridique doivent désigner celui d’entre eux qui représentera le groupement à</w:t>
      </w:r>
      <w:r w:rsidRPr="00E42A72">
        <w:rPr>
          <w:rFonts w:cstheme="minorHAnsi"/>
          <w:szCs w:val="22"/>
          <w:lang w:val="fr-BE"/>
        </w:rPr>
        <w:t xml:space="preserve"> l’égard du pouvoir adjudicateur.</w:t>
      </w:r>
    </w:p>
    <w:p w14:paraId="39A7BCF1" w14:textId="77777777" w:rsidR="00511B64" w:rsidRPr="00E42A72" w:rsidRDefault="00511B64" w:rsidP="009875B8">
      <w:pPr>
        <w:widowControl w:val="0"/>
        <w:tabs>
          <w:tab w:val="left" w:pos="851"/>
        </w:tabs>
        <w:snapToGrid w:val="0"/>
        <w:spacing w:after="120" w:line="240" w:lineRule="auto"/>
        <w:ind w:firstLine="11"/>
        <w:jc w:val="both"/>
        <w:rPr>
          <w:rFonts w:cstheme="minorHAnsi"/>
          <w:szCs w:val="22"/>
          <w:lang w:val="fr-BE"/>
        </w:rPr>
      </w:pPr>
    </w:p>
    <w:p w14:paraId="2CC29FCA" w14:textId="0AEC1A8B" w:rsidR="009875B8" w:rsidRPr="00880011" w:rsidRDefault="00880011" w:rsidP="009875B8">
      <w:pPr>
        <w:widowControl w:val="0"/>
        <w:tabs>
          <w:tab w:val="left" w:pos="851"/>
        </w:tabs>
        <w:snapToGrid w:val="0"/>
        <w:spacing w:after="120" w:line="240" w:lineRule="auto"/>
        <w:ind w:firstLine="11"/>
        <w:jc w:val="both"/>
        <w:rPr>
          <w:rFonts w:cstheme="minorHAnsi"/>
          <w:b/>
          <w:szCs w:val="22"/>
          <w:lang w:val="fr-BE"/>
        </w:rPr>
      </w:pPr>
      <w:r w:rsidRPr="00880011">
        <w:rPr>
          <w:rFonts w:cstheme="minorHAnsi"/>
          <w:b/>
          <w:szCs w:val="22"/>
          <w:lang w:val="fr-BE"/>
        </w:rPr>
        <w:lastRenderedPageBreak/>
        <w:t>L</w:t>
      </w:r>
      <w:r>
        <w:rPr>
          <w:rFonts w:cstheme="minorHAnsi"/>
          <w:b/>
          <w:szCs w:val="22"/>
          <w:lang w:val="fr-BE"/>
        </w:rPr>
        <w:t xml:space="preserve">e </w:t>
      </w:r>
      <w:r w:rsidRPr="00880011">
        <w:rPr>
          <w:rFonts w:cstheme="minorHAnsi"/>
          <w:b/>
          <w:szCs w:val="22"/>
          <w:lang w:val="fr-BE"/>
        </w:rPr>
        <w:t>pouvoir adjudicateur impose l’utilisation des moyens électroniques sous peine de nullité de l’offre.</w:t>
      </w:r>
    </w:p>
    <w:p w14:paraId="4178DA5B" w14:textId="4C1C16AB" w:rsidR="009875B8" w:rsidRPr="001563FC" w:rsidRDefault="001563FC" w:rsidP="3586E409">
      <w:pPr>
        <w:spacing w:before="200" w:after="0" w:line="240" w:lineRule="auto"/>
        <w:jc w:val="both"/>
        <w:rPr>
          <w:rFonts w:eastAsia="Times New Roman" w:cs="Times New Roman"/>
          <w:lang w:val="fr-BE"/>
        </w:rPr>
      </w:pPr>
      <w:r w:rsidRPr="799E2DB0">
        <w:rPr>
          <w:rFonts w:eastAsia="Times New Roman"/>
          <w:lang w:val="fr-BE"/>
        </w:rPr>
        <w:t xml:space="preserve">Les offres doivent être en possession du pouvoir adjudicateur avant le </w:t>
      </w:r>
      <w:r w:rsidR="00796885">
        <w:rPr>
          <w:rFonts w:eastAsia="Times New Roman"/>
          <w:lang w:val="fr-BE"/>
        </w:rPr>
        <w:t>18</w:t>
      </w:r>
      <w:r w:rsidR="001777AE" w:rsidRPr="799E2DB0">
        <w:rPr>
          <w:rFonts w:eastAsia="Times New Roman"/>
          <w:lang w:val="fr-BE"/>
        </w:rPr>
        <w:t xml:space="preserve"> </w:t>
      </w:r>
      <w:r w:rsidR="306E703E" w:rsidRPr="799E2DB0">
        <w:rPr>
          <w:rFonts w:eastAsia="Times New Roman"/>
          <w:lang w:val="fr-BE"/>
        </w:rPr>
        <w:t>janvier</w:t>
      </w:r>
      <w:r w:rsidR="001777AE" w:rsidRPr="799E2DB0">
        <w:rPr>
          <w:rFonts w:eastAsia="Times New Roman"/>
          <w:lang w:val="fr-BE"/>
        </w:rPr>
        <w:t xml:space="preserve"> </w:t>
      </w:r>
      <w:r w:rsidR="001C32EC">
        <w:rPr>
          <w:rFonts w:eastAsia="Times New Roman"/>
          <w:lang w:val="fr-BE"/>
        </w:rPr>
        <w:t xml:space="preserve">2023 </w:t>
      </w:r>
      <w:r w:rsidRPr="799E2DB0">
        <w:rPr>
          <w:rFonts w:eastAsia="Times New Roman"/>
          <w:lang w:val="fr-BE"/>
        </w:rPr>
        <w:t xml:space="preserve">à  </w:t>
      </w:r>
      <w:r w:rsidR="001777AE" w:rsidRPr="799E2DB0">
        <w:rPr>
          <w:rFonts w:eastAsia="Times New Roman"/>
          <w:lang w:val="fr-BE"/>
        </w:rPr>
        <w:t>11h</w:t>
      </w:r>
      <w:r w:rsidR="00E039D5">
        <w:rPr>
          <w:rFonts w:eastAsia="Times New Roman"/>
          <w:lang w:val="fr-BE"/>
        </w:rPr>
        <w:t>00</w:t>
      </w:r>
      <w:r w:rsidR="001777AE" w:rsidRPr="799E2DB0">
        <w:rPr>
          <w:rFonts w:eastAsia="Times New Roman"/>
          <w:lang w:val="fr-BE"/>
        </w:rPr>
        <w:t>.</w:t>
      </w:r>
      <w:r w:rsidRPr="799E2DB0">
        <w:rPr>
          <w:rFonts w:eastAsia="Times New Roman"/>
          <w:lang w:val="fr-BE"/>
        </w:rPr>
        <w:t xml:space="preserve"> </w:t>
      </w:r>
    </w:p>
    <w:p w14:paraId="617D1CE2" w14:textId="77777777" w:rsidR="0064399C" w:rsidRPr="0064399C" w:rsidRDefault="0064399C" w:rsidP="00872559">
      <w:pPr>
        <w:spacing w:before="200" w:after="0" w:line="240" w:lineRule="auto"/>
        <w:jc w:val="both"/>
        <w:rPr>
          <w:rFonts w:eastAsia="Times New Roman" w:cs="Times New Roman"/>
          <w:szCs w:val="22"/>
          <w:lang w:val="fr-BE"/>
        </w:rPr>
      </w:pPr>
      <w:bookmarkStart w:id="109" w:name="_Toc487533665"/>
      <w:bookmarkStart w:id="110" w:name="_Toc12453035"/>
      <w:bookmarkStart w:id="111" w:name="OLE_LINK2"/>
      <w:bookmarkStart w:id="112" w:name="OLE_LINK1"/>
      <w:r w:rsidRPr="0064399C">
        <w:rPr>
          <w:rFonts w:eastAsia="Times New Roman" w:cs="Times New Roman"/>
          <w:szCs w:val="22"/>
          <w:lang w:val="fr-BE"/>
        </w:rPr>
        <w:t>Les communications et les échanges d’informations entre le pouvoir adjudicateur et les opérateurs économiques, y compris la transmission et la réception électronique des offres, doivent, à tous les stades de la procédure de passation, être réalisés par des moyens de communication électroniques.</w:t>
      </w:r>
    </w:p>
    <w:p w14:paraId="20FE1C79" w14:textId="29C512C8" w:rsidR="000A3006" w:rsidRPr="000A3006" w:rsidRDefault="000A3006" w:rsidP="000A3006">
      <w:pPr>
        <w:spacing w:before="200" w:after="0" w:line="240" w:lineRule="auto"/>
        <w:jc w:val="both"/>
        <w:rPr>
          <w:rFonts w:eastAsia="Times New Roman" w:cs="Times New Roman"/>
          <w:szCs w:val="22"/>
          <w:lang w:val="fr-BE"/>
        </w:rPr>
      </w:pPr>
      <w:r w:rsidRPr="000A3006">
        <w:rPr>
          <w:rFonts w:eastAsia="Times New Roman" w:cs="Times New Roman"/>
          <w:szCs w:val="22"/>
          <w:lang w:val="fr-BE"/>
        </w:rPr>
        <w:t xml:space="preserve">Les offres électroniques doivent être envoyées via le site internet e-tendering </w:t>
      </w:r>
      <w:hyperlink r:id="rId26" w:history="1">
        <w:r w:rsidR="00511B64" w:rsidRPr="00372FED">
          <w:rPr>
            <w:rStyle w:val="Hyperlink"/>
            <w:rFonts w:eastAsia="Times New Roman" w:cs="Times New Roman"/>
            <w:szCs w:val="22"/>
            <w:lang w:val="fr-BE"/>
          </w:rPr>
          <w:t>https://eten.publicprocurement.be</w:t>
        </w:r>
      </w:hyperlink>
      <w:r w:rsidR="00511B64">
        <w:rPr>
          <w:rFonts w:eastAsia="Times New Roman" w:cs="Times New Roman"/>
          <w:szCs w:val="22"/>
          <w:lang w:val="fr-BE"/>
        </w:rPr>
        <w:t xml:space="preserve"> </w:t>
      </w:r>
      <w:r w:rsidR="00377ED8" w:rsidRPr="00377ED8">
        <w:rPr>
          <w:rFonts w:eastAsia="Times New Roman" w:cs="Times New Roman"/>
          <w:szCs w:val="22"/>
          <w:lang w:val="fr-BE"/>
        </w:rPr>
        <w:t>q</w:t>
      </w:r>
      <w:r w:rsidRPr="00377ED8">
        <w:rPr>
          <w:rFonts w:eastAsia="Times New Roman" w:cs="Times New Roman"/>
          <w:szCs w:val="22"/>
          <w:lang w:val="fr-BE"/>
        </w:rPr>
        <w:t>ui garantit le</w:t>
      </w:r>
      <w:r w:rsidRPr="000A3006">
        <w:rPr>
          <w:rFonts w:eastAsia="Times New Roman" w:cs="Times New Roman"/>
          <w:szCs w:val="22"/>
          <w:lang w:val="fr-BE"/>
        </w:rPr>
        <w:t xml:space="preserve"> respect des conditions établies à l’article 14 § 6 et 7 de la loi du 17 juin 2016.</w:t>
      </w:r>
    </w:p>
    <w:p w14:paraId="4F970926" w14:textId="77777777" w:rsidR="000A3006" w:rsidRPr="000A3006" w:rsidRDefault="000A3006" w:rsidP="000A3006">
      <w:pPr>
        <w:spacing w:before="200" w:after="0" w:line="240" w:lineRule="auto"/>
        <w:jc w:val="both"/>
        <w:rPr>
          <w:rFonts w:eastAsia="Times New Roman" w:cs="Times New Roman"/>
          <w:szCs w:val="22"/>
          <w:lang w:val="fr-BE"/>
        </w:rPr>
      </w:pPr>
      <w:r w:rsidRPr="000A3006">
        <w:rPr>
          <w:rFonts w:eastAsia="Times New Roman" w:cs="Times New Roman"/>
          <w:szCs w:val="22"/>
          <w:lang w:val="fr-BE"/>
        </w:rPr>
        <w:t>Le pouvoir adjudicateur attire l’attention des soumissionnaires sur le fait que l’envoi d’une offre par mail ne répond pas aux conditions de l’art. 14 § 6 et 7 de la loi du 17 juin 2016.</w:t>
      </w:r>
    </w:p>
    <w:p w14:paraId="7046E3AC" w14:textId="77777777" w:rsidR="000A3006" w:rsidRPr="000A3006" w:rsidRDefault="000A3006" w:rsidP="000A3006">
      <w:pPr>
        <w:spacing w:before="200" w:after="0" w:line="240" w:lineRule="auto"/>
        <w:jc w:val="both"/>
        <w:rPr>
          <w:rFonts w:eastAsia="Times New Roman" w:cs="Times New Roman"/>
          <w:szCs w:val="22"/>
          <w:lang w:val="fr-BE"/>
        </w:rPr>
      </w:pPr>
      <w:r w:rsidRPr="000A3006">
        <w:rPr>
          <w:rFonts w:eastAsia="Times New Roman" w:cs="Times New Roman"/>
          <w:szCs w:val="22"/>
          <w:lang w:val="fr-BE"/>
        </w:rPr>
        <w:t>En introduisant son offre par des moyens électroniques, le soumissionnaire accepte que les données de son offre soient enregistrées par le dispositif de réception.</w:t>
      </w:r>
    </w:p>
    <w:p w14:paraId="7FC65C70" w14:textId="661E639D" w:rsidR="00B001D8" w:rsidRPr="000A3006" w:rsidRDefault="000A3006" w:rsidP="000A3006">
      <w:pPr>
        <w:spacing w:before="200" w:after="0" w:line="240" w:lineRule="auto"/>
        <w:jc w:val="both"/>
        <w:rPr>
          <w:rFonts w:eastAsia="Times New Roman" w:cs="Times New Roman"/>
          <w:szCs w:val="22"/>
          <w:lang w:val="fr-BE"/>
        </w:rPr>
      </w:pPr>
      <w:r w:rsidRPr="000A3006">
        <w:rPr>
          <w:rFonts w:eastAsia="Times New Roman" w:cs="Times New Roman"/>
          <w:szCs w:val="22"/>
          <w:lang w:val="fr-BE"/>
        </w:rPr>
        <w:t xml:space="preserve">Plus d'informations peuvent être obtenues sur le site: </w:t>
      </w:r>
      <w:hyperlink r:id="rId27" w:history="1">
        <w:r w:rsidR="00511B64" w:rsidRPr="00372FED">
          <w:rPr>
            <w:rStyle w:val="Hyperlink"/>
            <w:lang w:val="fr-BE"/>
          </w:rPr>
          <w:t>https://bosa.belgium.be/fr/themes/marches-publics/introduire-une-offre-en-tant-quentreprise/soumettre-une-offre-comme</w:t>
        </w:r>
      </w:hyperlink>
      <w:r w:rsidR="00B65671">
        <w:rPr>
          <w:lang w:val="fr-BE"/>
        </w:rPr>
        <w:t xml:space="preserve"> </w:t>
      </w:r>
      <w:r w:rsidRPr="000A3006">
        <w:rPr>
          <w:rFonts w:eastAsia="Times New Roman" w:cs="Times New Roman"/>
          <w:szCs w:val="22"/>
          <w:lang w:val="fr-BE"/>
        </w:rPr>
        <w:t>ou via le numéro de téléphone du helpdesk du service e-Procurement: +32 (0)2 740 80 00.</w:t>
      </w:r>
    </w:p>
    <w:p w14:paraId="13A7B48A" w14:textId="77777777" w:rsidR="009410E6" w:rsidRPr="000A3006" w:rsidRDefault="009410E6" w:rsidP="00872559">
      <w:pPr>
        <w:spacing w:before="200" w:after="0" w:line="240" w:lineRule="auto"/>
        <w:jc w:val="both"/>
        <w:rPr>
          <w:rFonts w:eastAsia="Times New Roman" w:cs="Times New Roman"/>
          <w:szCs w:val="22"/>
          <w:lang w:val="fr-BE"/>
        </w:rPr>
      </w:pPr>
    </w:p>
    <w:p w14:paraId="4A33CE99" w14:textId="6BF2E203" w:rsidR="009875B8" w:rsidRPr="002E704D" w:rsidRDefault="009875B8" w:rsidP="00D6742D">
      <w:pPr>
        <w:pStyle w:val="Vade-mecumtitre2"/>
      </w:pPr>
      <w:bookmarkStart w:id="113" w:name="_Toc108509932"/>
      <w:bookmarkStart w:id="114" w:name="_Toc113544440"/>
      <w:bookmarkStart w:id="115" w:name="_Toc114066742"/>
      <w:bookmarkStart w:id="116" w:name="_Toc116387734"/>
      <w:bookmarkStart w:id="117" w:name="_Toc117603196"/>
      <w:r w:rsidRPr="002E704D">
        <w:t>A5.2</w:t>
      </w:r>
      <w:bookmarkEnd w:id="109"/>
      <w:bookmarkEnd w:id="110"/>
      <w:bookmarkEnd w:id="113"/>
      <w:bookmarkEnd w:id="114"/>
      <w:bookmarkEnd w:id="115"/>
      <w:r w:rsidR="00D6742D">
        <w:t xml:space="preserve"> </w:t>
      </w:r>
      <w:r w:rsidR="00D6742D" w:rsidRPr="00D6742D">
        <w:t>Modification ou retrait d’une offre déjà introduite</w:t>
      </w:r>
      <w:bookmarkEnd w:id="116"/>
      <w:bookmarkEnd w:id="117"/>
    </w:p>
    <w:bookmarkEnd w:id="111"/>
    <w:bookmarkEnd w:id="112"/>
    <w:p w14:paraId="40899F98" w14:textId="78C7EFE5" w:rsidR="009875B8" w:rsidRPr="00290339" w:rsidRDefault="00290339" w:rsidP="009875B8">
      <w:pPr>
        <w:widowControl w:val="0"/>
        <w:snapToGrid w:val="0"/>
        <w:spacing w:after="120" w:line="240" w:lineRule="auto"/>
        <w:ind w:firstLine="11"/>
        <w:jc w:val="both"/>
        <w:rPr>
          <w:rFonts w:cstheme="minorHAnsi"/>
          <w:szCs w:val="22"/>
          <w:lang w:val="fr-BE"/>
        </w:rPr>
      </w:pPr>
      <w:r w:rsidRPr="00290339">
        <w:rPr>
          <w:rFonts w:cstheme="minorHAnsi"/>
          <w:szCs w:val="22"/>
          <w:lang w:val="fr-BE"/>
        </w:rPr>
        <w:t>Les modifications ou le retrait d’une offre déjà introduite doivent/doit impérativement respecter les dispositions prévues à l’art. 43 de l’AR du 18 avril 2017.</w:t>
      </w:r>
    </w:p>
    <w:p w14:paraId="7ABC6627" w14:textId="0398A088" w:rsidR="009875B8" w:rsidRPr="006E1904" w:rsidRDefault="009875B8" w:rsidP="00B001D8">
      <w:pPr>
        <w:pStyle w:val="Vade-mecumtitre1"/>
        <w:numPr>
          <w:ilvl w:val="0"/>
          <w:numId w:val="0"/>
        </w:numPr>
        <w:ind w:left="432" w:hanging="432"/>
        <w:rPr>
          <w:lang w:val="fr-BE"/>
        </w:rPr>
      </w:pPr>
      <w:bookmarkStart w:id="118" w:name="_Toc347134727"/>
      <w:bookmarkStart w:id="119" w:name="_Toc486524201"/>
      <w:bookmarkStart w:id="120" w:name="_Toc487533666"/>
      <w:bookmarkStart w:id="121" w:name="_Toc12453036"/>
      <w:bookmarkStart w:id="122" w:name="_Toc77719398"/>
      <w:bookmarkStart w:id="123" w:name="_Toc108509933"/>
      <w:bookmarkStart w:id="124" w:name="_Toc117603197"/>
      <w:r w:rsidRPr="006E1904">
        <w:rPr>
          <w:lang w:val="fr-BE"/>
        </w:rPr>
        <w:t xml:space="preserve">A6. </w:t>
      </w:r>
      <w:bookmarkEnd w:id="100"/>
      <w:bookmarkEnd w:id="101"/>
      <w:bookmarkEnd w:id="102"/>
      <w:bookmarkEnd w:id="103"/>
      <w:bookmarkEnd w:id="104"/>
      <w:bookmarkEnd w:id="105"/>
      <w:bookmarkEnd w:id="106"/>
      <w:bookmarkEnd w:id="107"/>
      <w:bookmarkEnd w:id="108"/>
      <w:bookmarkEnd w:id="118"/>
      <w:bookmarkEnd w:id="119"/>
      <w:bookmarkEnd w:id="120"/>
      <w:bookmarkEnd w:id="121"/>
      <w:bookmarkEnd w:id="122"/>
      <w:bookmarkEnd w:id="123"/>
      <w:r w:rsidR="001148B0" w:rsidRPr="006E1904">
        <w:rPr>
          <w:lang w:val="fr-BE"/>
        </w:rPr>
        <w:t>Fonctionnaire dirigeant</w:t>
      </w:r>
      <w:bookmarkEnd w:id="124"/>
    </w:p>
    <w:p w14:paraId="4B82C4BD" w14:textId="21DB8FDC" w:rsidR="009875B8" w:rsidRPr="00C078C7" w:rsidRDefault="00C078C7" w:rsidP="009875B8">
      <w:pPr>
        <w:keepNext/>
        <w:keepLines/>
        <w:snapToGrid w:val="0"/>
        <w:spacing w:after="120" w:line="240" w:lineRule="auto"/>
        <w:jc w:val="both"/>
        <w:rPr>
          <w:rFonts w:cstheme="minorHAnsi"/>
          <w:szCs w:val="22"/>
          <w:lang w:val="fr-BE"/>
        </w:rPr>
      </w:pPr>
      <w:r w:rsidRPr="00C078C7">
        <w:rPr>
          <w:rFonts w:cstheme="minorHAnsi"/>
          <w:szCs w:val="22"/>
          <w:lang w:val="fr-BE"/>
        </w:rPr>
        <w:t>Le fonctionnaire dirigeant (qui est un fonctionnaire du pouvoir adjudicateur) sera désigné dans la notification de la conclusion du marché. Les limites de sa compétence y seront indiquées. Il peut être remplacé en cours d’exécution du marché, ce remplacement sera notifié par écrit à l’adjudicataire.</w:t>
      </w:r>
    </w:p>
    <w:p w14:paraId="72C26D4F" w14:textId="0F8BAA8E" w:rsidR="009875B8" w:rsidRPr="00AB14D2" w:rsidRDefault="009875B8" w:rsidP="00B001D8">
      <w:pPr>
        <w:pStyle w:val="Vade-mecumtitre1"/>
        <w:numPr>
          <w:ilvl w:val="0"/>
          <w:numId w:val="0"/>
        </w:numPr>
        <w:ind w:left="432" w:hanging="432"/>
        <w:rPr>
          <w:lang w:val="fr-BE"/>
        </w:rPr>
      </w:pPr>
      <w:bookmarkStart w:id="125" w:name="_Toc347134728"/>
      <w:bookmarkStart w:id="126" w:name="_Toc486524202"/>
      <w:bookmarkStart w:id="127" w:name="_Toc487533667"/>
      <w:bookmarkStart w:id="128" w:name="_Toc12453037"/>
      <w:bookmarkStart w:id="129" w:name="_Toc77719399"/>
      <w:bookmarkStart w:id="130" w:name="_Toc108509934"/>
      <w:bookmarkStart w:id="131" w:name="_Toc117603198"/>
      <w:r w:rsidRPr="00AB14D2">
        <w:rPr>
          <w:lang w:val="fr-BE"/>
        </w:rPr>
        <w:t xml:space="preserve">A7. </w:t>
      </w:r>
      <w:bookmarkEnd w:id="125"/>
      <w:bookmarkEnd w:id="126"/>
      <w:bookmarkEnd w:id="127"/>
      <w:bookmarkEnd w:id="128"/>
      <w:bookmarkEnd w:id="129"/>
      <w:bookmarkEnd w:id="130"/>
      <w:r w:rsidR="00AB14D2" w:rsidRPr="00AB14D2">
        <w:rPr>
          <w:lang w:val="fr-BE"/>
        </w:rPr>
        <w:t>Description des services à prester</w:t>
      </w:r>
      <w:bookmarkEnd w:id="131"/>
    </w:p>
    <w:p w14:paraId="27E86A0F" w14:textId="6DA6E38C" w:rsidR="009875B8" w:rsidRDefault="00AB14D2" w:rsidP="009875B8">
      <w:pPr>
        <w:keepNext/>
        <w:keepLines/>
        <w:snapToGrid w:val="0"/>
        <w:spacing w:after="120" w:line="240" w:lineRule="auto"/>
        <w:jc w:val="both"/>
        <w:rPr>
          <w:rFonts w:cstheme="minorHAnsi"/>
          <w:szCs w:val="22"/>
          <w:lang w:val="fr-BE"/>
        </w:rPr>
      </w:pPr>
      <w:bookmarkStart w:id="132" w:name="_Toc321891443"/>
      <w:bookmarkStart w:id="133" w:name="_Toc322448965"/>
      <w:bookmarkStart w:id="134" w:name="_Toc347134730"/>
      <w:bookmarkStart w:id="135" w:name="_Toc486524204"/>
      <w:bookmarkStart w:id="136" w:name="_Toc529699968"/>
      <w:bookmarkStart w:id="137" w:name="_Toc529700584"/>
      <w:bookmarkStart w:id="138" w:name="_Toc529747440"/>
      <w:bookmarkStart w:id="139" w:name="_Toc230684"/>
      <w:bookmarkStart w:id="140" w:name="_Toc230738"/>
      <w:bookmarkStart w:id="141" w:name="_Toc12079533"/>
      <w:bookmarkStart w:id="142" w:name="_Toc12862729"/>
      <w:bookmarkStart w:id="143" w:name="_Toc19591188"/>
      <w:bookmarkStart w:id="144" w:name="_Toc232304304"/>
      <w:r w:rsidRPr="00AB14D2">
        <w:rPr>
          <w:rFonts w:cstheme="minorHAnsi"/>
          <w:szCs w:val="22"/>
          <w:lang w:val="fr-BE"/>
        </w:rPr>
        <w:t>Les prestations à fournir sont décrites en détail dans la partie B « Prescriptions techniques » du présent cahier de charges.</w:t>
      </w:r>
    </w:p>
    <w:p w14:paraId="36746660" w14:textId="5B670368" w:rsidR="00511B64" w:rsidRPr="00AB14D2" w:rsidRDefault="00511B64" w:rsidP="009875B8">
      <w:pPr>
        <w:keepNext/>
        <w:keepLines/>
        <w:snapToGrid w:val="0"/>
        <w:spacing w:after="120" w:line="240" w:lineRule="auto"/>
        <w:jc w:val="both"/>
        <w:rPr>
          <w:rFonts w:cstheme="minorHAnsi"/>
          <w:szCs w:val="22"/>
          <w:lang w:val="fr-BE"/>
        </w:rPr>
      </w:pPr>
    </w:p>
    <w:bookmarkEnd w:id="132"/>
    <w:bookmarkEnd w:id="133"/>
    <w:bookmarkEnd w:id="134"/>
    <w:bookmarkEnd w:id="135"/>
    <w:p w14:paraId="59687550" w14:textId="341DEB9E" w:rsidR="00511B64" w:rsidRDefault="00511B64" w:rsidP="00511B64">
      <w:pPr>
        <w:pStyle w:val="Vade-Mecum0"/>
      </w:pPr>
    </w:p>
    <w:p w14:paraId="7AE4E9C1" w14:textId="583D230D" w:rsidR="00511B64" w:rsidRDefault="00511B64" w:rsidP="00511B64">
      <w:pPr>
        <w:pStyle w:val="Vade-Mecum0"/>
      </w:pPr>
    </w:p>
    <w:p w14:paraId="3C767F5E" w14:textId="77777777" w:rsidR="00511B64" w:rsidRDefault="00511B64" w:rsidP="00511B64">
      <w:pPr>
        <w:pStyle w:val="Vade-Mecum0"/>
      </w:pPr>
    </w:p>
    <w:p w14:paraId="7F81D716" w14:textId="77777777" w:rsidR="00511B64" w:rsidRDefault="00511B64" w:rsidP="00511B64">
      <w:pPr>
        <w:pStyle w:val="Vade-mecumtitre1"/>
        <w:numPr>
          <w:ilvl w:val="0"/>
          <w:numId w:val="0"/>
        </w:numPr>
        <w:ind w:left="432" w:hanging="432"/>
      </w:pPr>
      <w:bookmarkStart w:id="145" w:name="_Toc117603199"/>
      <w:r>
        <w:lastRenderedPageBreak/>
        <w:t xml:space="preserve">A8. </w:t>
      </w:r>
      <w:r w:rsidRPr="00A53D39">
        <w:rPr>
          <w:lang w:val="fr-BE"/>
        </w:rPr>
        <w:t>Documents régissant le marché</w:t>
      </w:r>
      <w:bookmarkEnd w:id="145"/>
    </w:p>
    <w:p w14:paraId="05E81D2C" w14:textId="523CF375" w:rsidR="00511B64" w:rsidRDefault="00511B64" w:rsidP="00511B64">
      <w:pPr>
        <w:pStyle w:val="Vade-mecumtitre2"/>
      </w:pPr>
      <w:bookmarkStart w:id="146" w:name="_Toc117603200"/>
      <w:r>
        <w:t>A8.1 Législation</w:t>
      </w:r>
      <w:bookmarkEnd w:id="146"/>
    </w:p>
    <w:p w14:paraId="6225C8D4" w14:textId="4A928900" w:rsidR="006228F4" w:rsidRPr="006228F4" w:rsidRDefault="006228F4" w:rsidP="006228F4">
      <w:pPr>
        <w:numPr>
          <w:ilvl w:val="0"/>
          <w:numId w:val="34"/>
        </w:num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bookmarkStart w:id="147" w:name="_Toc529699970"/>
      <w:bookmarkStart w:id="148" w:name="_Toc529700586"/>
      <w:bookmarkStart w:id="149" w:name="_Toc529747442"/>
      <w:bookmarkStart w:id="150" w:name="_Toc230686"/>
      <w:bookmarkStart w:id="151" w:name="_Toc230740"/>
      <w:bookmarkStart w:id="152" w:name="_Toc12079535"/>
      <w:bookmarkStart w:id="153" w:name="_Toc12862731"/>
      <w:bookmarkStart w:id="154" w:name="_Toc19591190"/>
      <w:bookmarkStart w:id="155" w:name="_Toc232304306"/>
      <w:bookmarkStart w:id="156" w:name="_Toc347134733"/>
      <w:bookmarkStart w:id="157" w:name="_Toc486524206"/>
      <w:bookmarkStart w:id="158" w:name="_Toc487533670"/>
      <w:bookmarkStart w:id="159" w:name="_Toc12453040"/>
      <w:bookmarkStart w:id="160" w:name="_Toc108509937"/>
      <w:bookmarkStart w:id="161" w:name="_Toc113544445"/>
      <w:bookmarkStart w:id="162" w:name="_Toc114066747"/>
      <w:bookmarkEnd w:id="136"/>
      <w:bookmarkEnd w:id="137"/>
      <w:bookmarkEnd w:id="138"/>
      <w:bookmarkEnd w:id="139"/>
      <w:bookmarkEnd w:id="140"/>
      <w:bookmarkEnd w:id="141"/>
      <w:bookmarkEnd w:id="142"/>
      <w:bookmarkEnd w:id="143"/>
      <w:bookmarkEnd w:id="144"/>
      <w:r w:rsidRPr="3586E409">
        <w:rPr>
          <w:lang w:val="fr-BE"/>
        </w:rPr>
        <w:t>Loi du 17 juin 2016 relative aux marchés publics</w:t>
      </w:r>
      <w:r w:rsidR="00A53D39">
        <w:rPr>
          <w:lang w:val="fr-BE"/>
        </w:rPr>
        <w:t xml:space="preserve"> </w:t>
      </w:r>
      <w:r w:rsidRPr="3586E409">
        <w:rPr>
          <w:lang w:val="fr-BE"/>
        </w:rPr>
        <w:t>;</w:t>
      </w:r>
    </w:p>
    <w:p w14:paraId="5E964AE6" w14:textId="38A91FDA" w:rsidR="006228F4" w:rsidRPr="006228F4" w:rsidRDefault="006228F4" w:rsidP="006228F4">
      <w:pPr>
        <w:numPr>
          <w:ilvl w:val="0"/>
          <w:numId w:val="34"/>
        </w:num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sidRPr="3586E409">
        <w:rPr>
          <w:lang w:val="fr-BE"/>
        </w:rPr>
        <w:t>Loi du 17 juin 2013 relative à la motivation, à l’information et aux voies de recours en matière de marchés publics, de certains marchés de travaux, de fournitures et de services</w:t>
      </w:r>
      <w:r w:rsidR="00A53D39">
        <w:rPr>
          <w:lang w:val="fr-BE"/>
        </w:rPr>
        <w:t xml:space="preserve"> </w:t>
      </w:r>
      <w:r w:rsidRPr="3586E409">
        <w:rPr>
          <w:lang w:val="fr-BE"/>
        </w:rPr>
        <w:t>;</w:t>
      </w:r>
    </w:p>
    <w:p w14:paraId="46C44A3F" w14:textId="1D0F56FC" w:rsidR="006228F4" w:rsidRPr="006228F4" w:rsidRDefault="006228F4" w:rsidP="006228F4">
      <w:pPr>
        <w:numPr>
          <w:ilvl w:val="0"/>
          <w:numId w:val="34"/>
        </w:num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sidRPr="3586E409">
        <w:rPr>
          <w:lang w:val="fr-BE"/>
        </w:rPr>
        <w:t>Arrêté royal du 18 avril 2017 relatif à la passation des marchés publics dans les secteurs classiques</w:t>
      </w:r>
      <w:r w:rsidR="00A53D39">
        <w:rPr>
          <w:lang w:val="fr-BE"/>
        </w:rPr>
        <w:t xml:space="preserve"> </w:t>
      </w:r>
      <w:r w:rsidRPr="3586E409">
        <w:rPr>
          <w:lang w:val="fr-BE"/>
        </w:rPr>
        <w:t>;</w:t>
      </w:r>
    </w:p>
    <w:p w14:paraId="736133EB" w14:textId="2F415FC6" w:rsidR="006228F4" w:rsidRPr="006228F4" w:rsidRDefault="006228F4" w:rsidP="006228F4">
      <w:pPr>
        <w:numPr>
          <w:ilvl w:val="0"/>
          <w:numId w:val="34"/>
        </w:num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sidRPr="3586E409">
        <w:rPr>
          <w:lang w:val="fr-BE"/>
        </w:rPr>
        <w:t>Arrêté royal du 14 janvier 2013 établissant les règles générales d'exécution des marchés publics</w:t>
      </w:r>
      <w:r w:rsidR="00A53D39">
        <w:rPr>
          <w:lang w:val="fr-BE"/>
        </w:rPr>
        <w:t xml:space="preserve"> </w:t>
      </w:r>
      <w:r w:rsidRPr="3586E409">
        <w:rPr>
          <w:lang w:val="fr-BE"/>
        </w:rPr>
        <w:t>;</w:t>
      </w:r>
    </w:p>
    <w:p w14:paraId="2931B5CD" w14:textId="1C3E6324" w:rsidR="006228F4" w:rsidRPr="006228F4" w:rsidRDefault="006228F4" w:rsidP="006228F4">
      <w:pPr>
        <w:numPr>
          <w:ilvl w:val="0"/>
          <w:numId w:val="34"/>
        </w:num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sidRPr="3586E409">
        <w:rPr>
          <w:lang w:val="fr-BE"/>
        </w:rPr>
        <w:t>Toutes les modifications aux lois et aux arrêtés précités, en vigueur au jour de la publication de l’avis de marché au Bulletin des Adjudications et/ou au Journal officiel de l’Union européenne.</w:t>
      </w:r>
    </w:p>
    <w:p w14:paraId="616DC5DD" w14:textId="77777777" w:rsidR="0014256C" w:rsidRPr="006228F4" w:rsidRDefault="0014256C" w:rsidP="0014256C">
      <w:pPr>
        <w:pBdr>
          <w:top w:val="nil"/>
          <w:left w:val="nil"/>
          <w:bottom w:val="nil"/>
          <w:right w:val="nil"/>
          <w:between w:val="nil"/>
          <w:bar w:val="nil"/>
        </w:pBdr>
        <w:tabs>
          <w:tab w:val="left" w:pos="5340"/>
        </w:tabs>
        <w:snapToGrid w:val="0"/>
        <w:spacing w:after="120" w:line="240" w:lineRule="auto"/>
        <w:ind w:left="357"/>
        <w:jc w:val="both"/>
        <w:rPr>
          <w:rFonts w:cstheme="minorHAnsi"/>
          <w:szCs w:val="22"/>
          <w:lang w:val="fr-BE"/>
        </w:rPr>
      </w:pPr>
    </w:p>
    <w:p w14:paraId="64B4B578" w14:textId="5A3DB91B" w:rsidR="009875B8" w:rsidRPr="0014256C" w:rsidRDefault="009875B8" w:rsidP="00721179">
      <w:pPr>
        <w:pStyle w:val="Vade-mecumtitre2"/>
        <w:rPr>
          <w:rFonts w:cstheme="minorHAnsi"/>
          <w:szCs w:val="22"/>
        </w:rPr>
      </w:pPr>
      <w:bookmarkStart w:id="163" w:name="_Toc116387739"/>
      <w:bookmarkStart w:id="164" w:name="_Toc117603201"/>
      <w:r w:rsidRPr="0014256C">
        <w:t xml:space="preserve">A8.2 </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00721179" w:rsidRPr="00721179">
        <w:t>Documents du marché</w:t>
      </w:r>
      <w:bookmarkEnd w:id="163"/>
      <w:bookmarkEnd w:id="164"/>
    </w:p>
    <w:p w14:paraId="03A2990F" w14:textId="3C185E00" w:rsidR="009875B8" w:rsidRPr="00511B64" w:rsidRDefault="00C20B9C" w:rsidP="009875B8">
      <w:pPr>
        <w:numPr>
          <w:ilvl w:val="0"/>
          <w:numId w:val="34"/>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fr-BE"/>
        </w:rPr>
      </w:pPr>
      <w:r w:rsidRPr="00511B64">
        <w:rPr>
          <w:szCs w:val="22"/>
          <w:lang w:val="fr-BE"/>
        </w:rPr>
        <w:t xml:space="preserve">le présent cahier spécial des charges n° </w:t>
      </w:r>
      <w:r w:rsidR="009875B8" w:rsidRPr="00511B64">
        <w:rPr>
          <w:szCs w:val="22"/>
          <w:lang w:val="fr-BE"/>
        </w:rPr>
        <w:t>S2/20</w:t>
      </w:r>
      <w:r w:rsidR="004F7EA8" w:rsidRPr="00511B64">
        <w:rPr>
          <w:szCs w:val="22"/>
          <w:lang w:val="fr-BE"/>
        </w:rPr>
        <w:t>22/03</w:t>
      </w:r>
      <w:r w:rsidR="00511B64">
        <w:rPr>
          <w:szCs w:val="22"/>
          <w:lang w:val="fr-BE"/>
        </w:rPr>
        <w:t xml:space="preserve"> </w:t>
      </w:r>
      <w:r w:rsidRPr="00511B64">
        <w:rPr>
          <w:szCs w:val="22"/>
          <w:lang w:val="fr-BE"/>
        </w:rPr>
        <w:t>;</w:t>
      </w:r>
    </w:p>
    <w:p w14:paraId="561F5C72" w14:textId="56380AEF" w:rsidR="00511B64" w:rsidRDefault="5ED1C000" w:rsidP="00511B64">
      <w:pPr>
        <w:numPr>
          <w:ilvl w:val="0"/>
          <w:numId w:val="34"/>
        </w:numPr>
        <w:tabs>
          <w:tab w:val="left" w:pos="5340"/>
        </w:tabs>
        <w:spacing w:after="120" w:line="240" w:lineRule="auto"/>
        <w:ind w:left="357" w:hanging="357"/>
        <w:jc w:val="both"/>
        <w:rPr>
          <w:rFonts w:eastAsia="Verdana" w:cs="Verdana"/>
          <w:color w:val="000000" w:themeColor="text1"/>
          <w:szCs w:val="22"/>
          <w:lang w:val="fr-BE"/>
        </w:rPr>
      </w:pPr>
      <w:r w:rsidRPr="00511B64">
        <w:rPr>
          <w:rFonts w:eastAsia="Verdana" w:cs="Verdana"/>
          <w:color w:val="000000" w:themeColor="text1"/>
          <w:szCs w:val="22"/>
          <w:lang w:val="fr-BE"/>
        </w:rPr>
        <w:t>le formulaire d’offre y annexé</w:t>
      </w:r>
      <w:r w:rsidR="00511B64">
        <w:rPr>
          <w:rFonts w:eastAsia="Verdana" w:cs="Verdana"/>
          <w:color w:val="000000" w:themeColor="text1"/>
          <w:szCs w:val="22"/>
          <w:lang w:val="fr-BE"/>
        </w:rPr>
        <w:t xml:space="preserve"> </w:t>
      </w:r>
      <w:r w:rsidRPr="00511B64">
        <w:rPr>
          <w:rFonts w:eastAsia="Verdana" w:cs="Verdana"/>
          <w:color w:val="000000" w:themeColor="text1"/>
          <w:szCs w:val="22"/>
          <w:lang w:val="fr-BE"/>
        </w:rPr>
        <w:t xml:space="preserve">; </w:t>
      </w:r>
    </w:p>
    <w:p w14:paraId="0E16A493" w14:textId="5B06736B" w:rsidR="3586E409" w:rsidRPr="00511B64" w:rsidRDefault="5ED1C000" w:rsidP="00511B64">
      <w:pPr>
        <w:numPr>
          <w:ilvl w:val="0"/>
          <w:numId w:val="34"/>
        </w:numPr>
        <w:tabs>
          <w:tab w:val="left" w:pos="5340"/>
        </w:tabs>
        <w:spacing w:after="120" w:line="240" w:lineRule="auto"/>
        <w:ind w:left="357" w:hanging="357"/>
        <w:jc w:val="both"/>
        <w:rPr>
          <w:rFonts w:eastAsia="Verdana" w:cs="Verdana"/>
          <w:color w:val="000000" w:themeColor="text1"/>
          <w:szCs w:val="22"/>
          <w:lang w:val="fr-BE"/>
        </w:rPr>
      </w:pPr>
      <w:r w:rsidRPr="00511B64">
        <w:rPr>
          <w:rFonts w:eastAsia="Verdana" w:cs="Verdana"/>
          <w:color w:val="000000" w:themeColor="text1"/>
          <w:szCs w:val="22"/>
          <w:lang w:val="fr-BE"/>
        </w:rPr>
        <w:t>le document unique de marché européen (DUME)</w:t>
      </w:r>
      <w:r w:rsidR="00511B64">
        <w:rPr>
          <w:rFonts w:eastAsia="Verdana" w:cs="Verdana"/>
          <w:color w:val="000000" w:themeColor="text1"/>
          <w:szCs w:val="22"/>
          <w:lang w:val="fr-BE"/>
        </w:rPr>
        <w:t>.</w:t>
      </w:r>
    </w:p>
    <w:p w14:paraId="4C1DC0A5" w14:textId="77777777" w:rsidR="009410E6" w:rsidRPr="00511B64" w:rsidRDefault="009410E6" w:rsidP="009E6864">
      <w:p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p>
    <w:p w14:paraId="1BF5A0C6" w14:textId="355D9C8A" w:rsidR="009E6864" w:rsidRDefault="009E6864" w:rsidP="00A82208">
      <w:pPr>
        <w:pStyle w:val="Vade-mecumtitre2"/>
      </w:pPr>
      <w:bookmarkStart w:id="165" w:name="_Toc487533671"/>
      <w:bookmarkStart w:id="166" w:name="_Toc12453041"/>
      <w:bookmarkStart w:id="167" w:name="_Toc113544446"/>
      <w:bookmarkStart w:id="168" w:name="_Toc114066748"/>
      <w:bookmarkStart w:id="169" w:name="_Toc116387740"/>
      <w:bookmarkStart w:id="170" w:name="_Toc117603202"/>
      <w:r w:rsidRPr="009E6864">
        <w:t xml:space="preserve">A8.3 </w:t>
      </w:r>
      <w:bookmarkEnd w:id="165"/>
      <w:bookmarkEnd w:id="166"/>
      <w:bookmarkEnd w:id="167"/>
      <w:bookmarkEnd w:id="168"/>
      <w:r w:rsidR="00A82208" w:rsidRPr="00A82208">
        <w:t>Avis de marché et rectificatifs</w:t>
      </w:r>
      <w:bookmarkEnd w:id="169"/>
      <w:bookmarkEnd w:id="170"/>
    </w:p>
    <w:p w14:paraId="634B2429" w14:textId="1D6AA448" w:rsidR="007C51A1" w:rsidRPr="007C51A1" w:rsidRDefault="007C51A1" w:rsidP="007C51A1">
      <w:pPr>
        <w:pStyle w:val="Vade-Mecum0"/>
        <w:spacing w:line="240" w:lineRule="auto"/>
        <w:jc w:val="both"/>
      </w:pPr>
      <w:r w:rsidRPr="007C51A1">
        <w:t>Les avis de marché et rectificatifs annoncés ou publiés au Bulletin des Adjudications ou au Journal Officiel de l’Union européenne qui ont trait aux marchés en général, ainsi que les avis de marché et rectificatifs relatifs à ce marché, font partie intégrante du présent cahier spécial des charges. Le soumissionnaire est censé en avoir pris connaissance et en avoir tenu compte lors de l’établissement de son offre.</w:t>
      </w:r>
    </w:p>
    <w:p w14:paraId="57F53A3C" w14:textId="207BF7A9" w:rsidR="009875B8" w:rsidRPr="005F1EAF" w:rsidRDefault="009875B8" w:rsidP="009E6864">
      <w:pPr>
        <w:pStyle w:val="Vade-mecumtitre1"/>
        <w:numPr>
          <w:ilvl w:val="0"/>
          <w:numId w:val="0"/>
        </w:numPr>
        <w:rPr>
          <w:lang w:val="fr-BE"/>
        </w:rPr>
      </w:pPr>
      <w:bookmarkStart w:id="171" w:name="_Toc529699971"/>
      <w:bookmarkStart w:id="172" w:name="_Toc529700587"/>
      <w:bookmarkStart w:id="173" w:name="_Toc529747443"/>
      <w:bookmarkStart w:id="174" w:name="_Toc230687"/>
      <w:bookmarkStart w:id="175" w:name="_Toc230741"/>
      <w:bookmarkStart w:id="176" w:name="_Toc12079536"/>
      <w:bookmarkStart w:id="177" w:name="_Toc12862732"/>
      <w:bookmarkStart w:id="178" w:name="_Toc19591191"/>
      <w:bookmarkStart w:id="179" w:name="_Toc232304307"/>
      <w:bookmarkStart w:id="180" w:name="_Toc347134734"/>
      <w:bookmarkStart w:id="181" w:name="_Toc486524208"/>
      <w:bookmarkStart w:id="182" w:name="_Toc487533672"/>
      <w:bookmarkStart w:id="183" w:name="_Toc12453042"/>
      <w:bookmarkStart w:id="184" w:name="_Toc77719401"/>
      <w:bookmarkStart w:id="185" w:name="_Toc108509938"/>
      <w:bookmarkStart w:id="186" w:name="_Toc117603203"/>
      <w:r w:rsidRPr="005F1EAF">
        <w:rPr>
          <w:lang w:val="fr-BE"/>
        </w:rPr>
        <w:t>A9. Off</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0096787B">
        <w:rPr>
          <w:lang w:val="fr-BE"/>
        </w:rPr>
        <w:t>res</w:t>
      </w:r>
      <w:bookmarkEnd w:id="186"/>
    </w:p>
    <w:p w14:paraId="3F9D9C27" w14:textId="0DEF40F4" w:rsidR="00511B64" w:rsidRDefault="009875B8" w:rsidP="00511B64">
      <w:pPr>
        <w:pStyle w:val="Vade-mecumtitre2"/>
      </w:pPr>
      <w:bookmarkStart w:id="187" w:name="_Toc529699972"/>
      <w:bookmarkStart w:id="188" w:name="_Toc529700588"/>
      <w:bookmarkStart w:id="189" w:name="_Toc529747444"/>
      <w:bookmarkStart w:id="190" w:name="_Toc230688"/>
      <w:bookmarkStart w:id="191" w:name="_Toc230742"/>
      <w:bookmarkStart w:id="192" w:name="_Toc12079537"/>
      <w:bookmarkStart w:id="193" w:name="_Toc12862733"/>
      <w:bookmarkStart w:id="194" w:name="_Toc19591192"/>
      <w:bookmarkStart w:id="195" w:name="_Toc232304308"/>
      <w:bookmarkStart w:id="196" w:name="_Toc347134735"/>
      <w:bookmarkStart w:id="197" w:name="_Toc486524209"/>
      <w:bookmarkStart w:id="198" w:name="_Toc487533673"/>
      <w:bookmarkStart w:id="199" w:name="_Toc12453043"/>
      <w:bookmarkStart w:id="200" w:name="_Toc108509939"/>
      <w:bookmarkStart w:id="201" w:name="_Toc113544448"/>
      <w:bookmarkStart w:id="202" w:name="_Toc114066750"/>
      <w:bookmarkStart w:id="203" w:name="_Toc116387742"/>
      <w:bookmarkStart w:id="204" w:name="_Toc117603204"/>
      <w:r w:rsidRPr="002E704D">
        <w:t xml:space="preserve">A9.1 </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0096787B" w:rsidRPr="0096787B">
        <w:t>Données à mentionner dans l’offre</w:t>
      </w:r>
      <w:bookmarkEnd w:id="203"/>
      <w:bookmarkEnd w:id="204"/>
    </w:p>
    <w:p w14:paraId="181A28CF" w14:textId="6C36E6FC" w:rsidR="000336DA" w:rsidRPr="00511B64" w:rsidRDefault="00511B64" w:rsidP="00511B64">
      <w:pPr>
        <w:pStyle w:val="Vade-Mecum0"/>
        <w:spacing w:line="240" w:lineRule="auto"/>
        <w:jc w:val="both"/>
      </w:pPr>
      <w:r w:rsidRPr="00511B64">
        <w:t>L’attention des soumissionnaires est attirée sur les principes généraux édictés aux articles 4, 5, 6, 7 et 11 de la loi du 17 juin 2016 et qui sont applicables à la présente procédure de passation.</w:t>
      </w:r>
      <w:r>
        <w:br/>
      </w:r>
      <w:r>
        <w:br/>
      </w:r>
      <w:r w:rsidR="000336DA" w:rsidRPr="000336DA">
        <w:rPr>
          <w:rFonts w:cstheme="minorHAnsi"/>
          <w:szCs w:val="22"/>
        </w:rPr>
        <w:t>Il est fortement recommandé au soumissionnaire d’utiliser le formulaire d’offre en annexe. À défaut d’utiliser ce formulaire, il supporte l’entière responsabilité de la parfaite concordance entre les documents qu’il a utilisés et le formulaire.</w:t>
      </w:r>
    </w:p>
    <w:p w14:paraId="4A3ECD09" w14:textId="13685A03" w:rsidR="00345F5B" w:rsidRDefault="00345F5B" w:rsidP="000336DA">
      <w:pPr>
        <w:keepNext/>
        <w:keepLines/>
        <w:snapToGrid w:val="0"/>
        <w:spacing w:after="120" w:line="240" w:lineRule="auto"/>
        <w:ind w:firstLine="11"/>
        <w:jc w:val="both"/>
        <w:rPr>
          <w:rFonts w:cstheme="minorHAnsi"/>
          <w:szCs w:val="22"/>
          <w:lang w:val="fr-BE"/>
        </w:rPr>
      </w:pPr>
      <w:r w:rsidRPr="00511B64">
        <w:rPr>
          <w:rFonts w:cstheme="minorHAnsi"/>
          <w:szCs w:val="22"/>
          <w:lang w:val="fr-BE"/>
        </w:rPr>
        <w:lastRenderedPageBreak/>
        <w:t>L’offre et les annexes jointes au formulaire d’offre sont rédigées en français, en néerlandais ou en anglais. Les offres comprenant des parties rédigées dans l’une ou l’autre de ces trois langues seront également acceptées.</w:t>
      </w:r>
    </w:p>
    <w:p w14:paraId="65E5A583" w14:textId="797DF24C" w:rsidR="009875B8" w:rsidRPr="00DD41F0" w:rsidRDefault="00DD41F0" w:rsidP="009875B8">
      <w:pPr>
        <w:keepNext/>
        <w:keepLines/>
        <w:snapToGrid w:val="0"/>
        <w:spacing w:after="120" w:line="240" w:lineRule="auto"/>
        <w:ind w:firstLine="11"/>
        <w:jc w:val="both"/>
        <w:rPr>
          <w:rFonts w:cstheme="minorHAnsi"/>
          <w:szCs w:val="22"/>
          <w:lang w:val="fr-BE"/>
        </w:rPr>
      </w:pPr>
      <w:r w:rsidRPr="00DD41F0">
        <w:rPr>
          <w:rFonts w:cstheme="minorHAnsi"/>
          <w:szCs w:val="22"/>
          <w:lang w:val="fr-BE"/>
        </w:rPr>
        <w:t>Le soumissionnaire indique clairement dans son offre quelle information est confidentielle et/ou se rapporte à des secrets techniques ou commerciaux et ne peut donc pas être divulguée par le pouvoir adjudicateur.</w:t>
      </w:r>
    </w:p>
    <w:p w14:paraId="360B86A8" w14:textId="3010C661" w:rsidR="009875B8" w:rsidRPr="006C2125" w:rsidRDefault="006C2125" w:rsidP="00077980">
      <w:pPr>
        <w:jc w:val="left"/>
        <w:rPr>
          <w:b/>
          <w:bCs/>
          <w:lang w:val="fr-BE"/>
        </w:rPr>
      </w:pPr>
      <w:r w:rsidRPr="006C2125">
        <w:rPr>
          <w:b/>
          <w:bCs/>
          <w:lang w:val="fr-BE"/>
        </w:rPr>
        <w:t>Les renseignements suivants seront mentionnés dans l’offre:</w:t>
      </w:r>
    </w:p>
    <w:p w14:paraId="3F43ECDC" w14:textId="2EC3A6F8" w:rsidR="006C2125" w:rsidRPr="006C2125" w:rsidRDefault="006C2125" w:rsidP="006C2125">
      <w:pPr>
        <w:numPr>
          <w:ilvl w:val="0"/>
          <w:numId w:val="34"/>
        </w:num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sidRPr="3586E409">
        <w:rPr>
          <w:lang w:val="fr-BE"/>
        </w:rPr>
        <w:t>le montant total de l’offre en lettres et en chiffres (hors TVA)</w:t>
      </w:r>
      <w:r w:rsidR="00A53D39">
        <w:rPr>
          <w:lang w:val="fr-BE"/>
        </w:rPr>
        <w:t xml:space="preserve"> </w:t>
      </w:r>
      <w:r w:rsidRPr="3586E409">
        <w:rPr>
          <w:lang w:val="fr-BE"/>
        </w:rPr>
        <w:t>;</w:t>
      </w:r>
    </w:p>
    <w:p w14:paraId="2BE29328" w14:textId="3744F20F" w:rsidR="006C2125" w:rsidRPr="006C2125" w:rsidRDefault="006C2125" w:rsidP="006C2125">
      <w:pPr>
        <w:numPr>
          <w:ilvl w:val="0"/>
          <w:numId w:val="34"/>
        </w:num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sidRPr="3586E409">
        <w:rPr>
          <w:lang w:val="fr-BE"/>
        </w:rPr>
        <w:t>le montant de la TVA</w:t>
      </w:r>
      <w:r w:rsidR="00A53D39">
        <w:rPr>
          <w:lang w:val="fr-BE"/>
        </w:rPr>
        <w:t xml:space="preserve"> </w:t>
      </w:r>
      <w:r w:rsidRPr="3586E409">
        <w:rPr>
          <w:lang w:val="fr-BE"/>
        </w:rPr>
        <w:t>;</w:t>
      </w:r>
    </w:p>
    <w:p w14:paraId="2E343A34" w14:textId="78237A9B" w:rsidR="006C2125" w:rsidRPr="006C2125" w:rsidRDefault="006C2125" w:rsidP="006C2125">
      <w:pPr>
        <w:numPr>
          <w:ilvl w:val="0"/>
          <w:numId w:val="34"/>
        </w:num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sidRPr="3586E409">
        <w:rPr>
          <w:lang w:val="fr-BE"/>
        </w:rPr>
        <w:t>le montant total de l’offre en lettres et en chiffres (TVA incluse)</w:t>
      </w:r>
      <w:r w:rsidR="00A53D39">
        <w:rPr>
          <w:lang w:val="fr-BE"/>
        </w:rPr>
        <w:t xml:space="preserve"> </w:t>
      </w:r>
      <w:r w:rsidRPr="3586E409">
        <w:rPr>
          <w:lang w:val="fr-BE"/>
        </w:rPr>
        <w:t>;</w:t>
      </w:r>
    </w:p>
    <w:p w14:paraId="24A99A1C" w14:textId="40BA1818" w:rsidR="006C2125" w:rsidRPr="006C2125" w:rsidRDefault="006C2125" w:rsidP="006C2125">
      <w:pPr>
        <w:numPr>
          <w:ilvl w:val="0"/>
          <w:numId w:val="34"/>
        </w:num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sidRPr="3586E409">
        <w:rPr>
          <w:lang w:val="fr-BE"/>
        </w:rPr>
        <w:t>la signature du rapport de dépôt par la personne ou les personnes compétente(s) ou mandatée(s), selon le cas, pour engager le soumissionnaire</w:t>
      </w:r>
      <w:r w:rsidR="00A53D39">
        <w:rPr>
          <w:lang w:val="fr-BE"/>
        </w:rPr>
        <w:t xml:space="preserve"> </w:t>
      </w:r>
      <w:r w:rsidRPr="3586E409">
        <w:rPr>
          <w:lang w:val="fr-BE"/>
        </w:rPr>
        <w:t>;</w:t>
      </w:r>
    </w:p>
    <w:p w14:paraId="1989E703" w14:textId="281B99BF" w:rsidR="006C2125" w:rsidRPr="006C2125" w:rsidRDefault="006C2125" w:rsidP="006C2125">
      <w:pPr>
        <w:numPr>
          <w:ilvl w:val="0"/>
          <w:numId w:val="34"/>
        </w:num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sidRPr="3586E409">
        <w:rPr>
          <w:lang w:val="fr-BE"/>
        </w:rPr>
        <w:t>la qualité de la personne ou des personnes, selon le cas, qui signe(nt) l’offre</w:t>
      </w:r>
      <w:r w:rsidR="00A53D39">
        <w:rPr>
          <w:lang w:val="fr-BE"/>
        </w:rPr>
        <w:t xml:space="preserve"> </w:t>
      </w:r>
      <w:r w:rsidRPr="3586E409">
        <w:rPr>
          <w:lang w:val="fr-BE"/>
        </w:rPr>
        <w:t>;</w:t>
      </w:r>
    </w:p>
    <w:p w14:paraId="5A701277" w14:textId="1BEB2CC6" w:rsidR="006C2125" w:rsidRPr="006C2125" w:rsidRDefault="006C2125" w:rsidP="006C2125">
      <w:pPr>
        <w:numPr>
          <w:ilvl w:val="0"/>
          <w:numId w:val="34"/>
        </w:num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sidRPr="3586E409">
        <w:rPr>
          <w:lang w:val="fr-BE"/>
        </w:rPr>
        <w:t>le numéro d’immatriculation complet du soumissionnaire auprès de la Banque Carrefour des Entreprises (pour les soumissionnaires belges)</w:t>
      </w:r>
      <w:r w:rsidR="00A53D39">
        <w:rPr>
          <w:lang w:val="fr-BE"/>
        </w:rPr>
        <w:t xml:space="preserve"> </w:t>
      </w:r>
      <w:r w:rsidRPr="3586E409">
        <w:rPr>
          <w:lang w:val="fr-BE"/>
        </w:rPr>
        <w:t>;</w:t>
      </w:r>
    </w:p>
    <w:p w14:paraId="0D834FCE" w14:textId="279C7D55" w:rsidR="006C2125" w:rsidRPr="006C2125" w:rsidRDefault="006C2125" w:rsidP="006C2125">
      <w:pPr>
        <w:numPr>
          <w:ilvl w:val="0"/>
          <w:numId w:val="34"/>
        </w:num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sidRPr="3586E409">
        <w:rPr>
          <w:lang w:val="fr-BE"/>
        </w:rPr>
        <w:t>l’offre technique et financière telle que décrite dans la partie C (voir C1 Fiche d</w:t>
      </w:r>
      <w:r w:rsidR="002A1F52" w:rsidRPr="3586E409">
        <w:rPr>
          <w:lang w:val="fr-BE"/>
        </w:rPr>
        <w:t>e renseignements</w:t>
      </w:r>
      <w:r w:rsidRPr="3586E409">
        <w:rPr>
          <w:lang w:val="fr-BE"/>
        </w:rPr>
        <w:t>) du présent cahier de charges.</w:t>
      </w:r>
    </w:p>
    <w:p w14:paraId="597972B4" w14:textId="77777777" w:rsidR="006C2125" w:rsidRPr="006C2125" w:rsidRDefault="006C2125" w:rsidP="006C2125">
      <w:p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p>
    <w:p w14:paraId="18A39FA5" w14:textId="4D1EE312" w:rsidR="009875B8" w:rsidRPr="0088204B" w:rsidRDefault="009875B8" w:rsidP="00BC2830">
      <w:pPr>
        <w:pStyle w:val="Vade-mecumtitre2"/>
      </w:pPr>
      <w:bookmarkStart w:id="205" w:name="_Toc529699973"/>
      <w:bookmarkStart w:id="206" w:name="_Toc529700589"/>
      <w:bookmarkStart w:id="207" w:name="_Toc529747445"/>
      <w:bookmarkStart w:id="208" w:name="_Toc230689"/>
      <w:bookmarkStart w:id="209" w:name="_Toc230743"/>
      <w:bookmarkStart w:id="210" w:name="_Toc12079538"/>
      <w:bookmarkStart w:id="211" w:name="_Toc12862734"/>
      <w:bookmarkStart w:id="212" w:name="_Toc19591193"/>
      <w:bookmarkStart w:id="213" w:name="_Toc232304309"/>
      <w:bookmarkStart w:id="214" w:name="_Toc347134736"/>
      <w:bookmarkStart w:id="215" w:name="_Toc486524210"/>
      <w:bookmarkStart w:id="216" w:name="_Toc487533674"/>
      <w:bookmarkStart w:id="217" w:name="_Toc12453044"/>
      <w:bookmarkStart w:id="218" w:name="_Toc108509941"/>
      <w:bookmarkStart w:id="219" w:name="_Toc113544449"/>
      <w:bookmarkStart w:id="220" w:name="_Toc114066751"/>
      <w:bookmarkStart w:id="221" w:name="_Toc116387743"/>
      <w:bookmarkStart w:id="222" w:name="_Toc117603205"/>
      <w:r w:rsidRPr="0088204B">
        <w:t xml:space="preserve">A9.2 </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00BC2830" w:rsidRPr="0088204B">
        <w:t>Durée de validité de l’offre</w:t>
      </w:r>
      <w:bookmarkEnd w:id="221"/>
      <w:bookmarkEnd w:id="222"/>
    </w:p>
    <w:p w14:paraId="2F48FABA" w14:textId="3E4C1BE1" w:rsidR="0088204B" w:rsidRPr="0088204B" w:rsidRDefault="0088204B" w:rsidP="009410E6">
      <w:pPr>
        <w:keepNext/>
        <w:keepLines/>
        <w:snapToGrid w:val="0"/>
        <w:spacing w:after="120" w:line="240" w:lineRule="auto"/>
        <w:ind w:firstLine="11"/>
        <w:jc w:val="both"/>
        <w:rPr>
          <w:lang w:val="fr-BE"/>
        </w:rPr>
      </w:pPr>
      <w:r w:rsidRPr="0088204B">
        <w:rPr>
          <w:lang w:val="fr-BE"/>
        </w:rPr>
        <w:t xml:space="preserve">Les soumissionnaires restent liés par leur offre pendant un délai </w:t>
      </w:r>
      <w:r w:rsidRPr="00511B64">
        <w:rPr>
          <w:lang w:val="fr-BE"/>
        </w:rPr>
        <w:t>de 100 jours</w:t>
      </w:r>
      <w:r w:rsidRPr="0088204B">
        <w:rPr>
          <w:lang w:val="fr-BE"/>
        </w:rPr>
        <w:t xml:space="preserve"> calendrier, à compter du jour qui suit celui de la date limite de réception.</w:t>
      </w:r>
    </w:p>
    <w:p w14:paraId="660045B7" w14:textId="77777777" w:rsidR="009410E6" w:rsidRPr="0088204B" w:rsidRDefault="009410E6" w:rsidP="005168BD">
      <w:pPr>
        <w:pStyle w:val="Vade-mecumtitre2"/>
      </w:pPr>
      <w:bookmarkStart w:id="223" w:name="_Toc108509942"/>
    </w:p>
    <w:p w14:paraId="4FE5DAB1" w14:textId="3251792A" w:rsidR="009875B8" w:rsidRPr="009410E6" w:rsidRDefault="009875B8" w:rsidP="00D16A8F">
      <w:pPr>
        <w:pStyle w:val="Vade-mecumtitre2"/>
      </w:pPr>
      <w:bookmarkStart w:id="224" w:name="_Toc113544450"/>
      <w:bookmarkStart w:id="225" w:name="_Toc114066752"/>
      <w:bookmarkStart w:id="226" w:name="_Toc116387744"/>
      <w:bookmarkStart w:id="227" w:name="_Toc117603206"/>
      <w:r w:rsidRPr="009410E6">
        <w:t xml:space="preserve">A9.3 </w:t>
      </w:r>
      <w:bookmarkEnd w:id="223"/>
      <w:bookmarkEnd w:id="224"/>
      <w:bookmarkEnd w:id="225"/>
      <w:r w:rsidR="00D16A8F" w:rsidRPr="00D16A8F">
        <w:t>Échantillons, documents et attestations à joindre à l’offre</w:t>
      </w:r>
      <w:bookmarkEnd w:id="226"/>
      <w:bookmarkEnd w:id="227"/>
    </w:p>
    <w:p w14:paraId="72BF71DA" w14:textId="6F44447B" w:rsidR="008675DF" w:rsidRPr="008675DF" w:rsidRDefault="008675DF" w:rsidP="008675DF">
      <w:p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Pr>
          <w:rFonts w:cstheme="minorHAnsi"/>
          <w:szCs w:val="22"/>
          <w:lang w:val="fr-BE"/>
        </w:rPr>
        <w:t>L</w:t>
      </w:r>
      <w:r w:rsidRPr="008675DF">
        <w:rPr>
          <w:rFonts w:cstheme="minorHAnsi"/>
          <w:szCs w:val="22"/>
          <w:lang w:val="fr-BE"/>
        </w:rPr>
        <w:t>es soumissionnaires joignent à leur offre</w:t>
      </w:r>
      <w:r w:rsidR="00A53D39">
        <w:rPr>
          <w:rFonts w:cstheme="minorHAnsi"/>
          <w:szCs w:val="22"/>
          <w:lang w:val="fr-BE"/>
        </w:rPr>
        <w:t xml:space="preserve"> </w:t>
      </w:r>
      <w:r w:rsidRPr="008675DF">
        <w:rPr>
          <w:rFonts w:cstheme="minorHAnsi"/>
          <w:szCs w:val="22"/>
          <w:lang w:val="fr-BE"/>
        </w:rPr>
        <w:t>:</w:t>
      </w:r>
    </w:p>
    <w:p w14:paraId="357FA751" w14:textId="5175F9DA" w:rsidR="008675DF" w:rsidRPr="008675DF" w:rsidRDefault="008675DF" w:rsidP="008675DF">
      <w:p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sidRPr="008675DF">
        <w:rPr>
          <w:rFonts w:cstheme="minorHAnsi"/>
          <w:szCs w:val="22"/>
          <w:lang w:val="fr-BE"/>
        </w:rPr>
        <w:t xml:space="preserve">- tous les documents demandés dans le cadre des critères de sélection, des motifs d’exclusion, le cas échéant, et des critères </w:t>
      </w:r>
      <w:r w:rsidRPr="00511B64">
        <w:rPr>
          <w:rFonts w:cstheme="minorHAnsi"/>
          <w:szCs w:val="22"/>
          <w:lang w:val="fr-BE"/>
        </w:rPr>
        <w:t>d’attribution (voir ci-dessous le point A</w:t>
      </w:r>
      <w:r w:rsidR="005B75D8" w:rsidRPr="00511B64">
        <w:rPr>
          <w:rFonts w:cstheme="minorHAnsi"/>
          <w:szCs w:val="22"/>
          <w:lang w:val="fr-BE"/>
        </w:rPr>
        <w:t>11</w:t>
      </w:r>
      <w:r w:rsidRPr="00511B64">
        <w:rPr>
          <w:rFonts w:cstheme="minorHAnsi"/>
          <w:szCs w:val="22"/>
          <w:lang w:val="fr-BE"/>
        </w:rPr>
        <w:t>) ;</w:t>
      </w:r>
    </w:p>
    <w:p w14:paraId="795F0041" w14:textId="39C8EDD9" w:rsidR="008675DF" w:rsidRPr="008675DF" w:rsidRDefault="008675DF" w:rsidP="008675DF">
      <w:p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sidRPr="008675DF">
        <w:rPr>
          <w:rFonts w:cstheme="minorHAnsi"/>
          <w:szCs w:val="22"/>
          <w:lang w:val="fr-BE"/>
        </w:rPr>
        <w:t>- les statuts ainsi que tout autre document utile prouvant le mandat du (des) signataire(s)</w:t>
      </w:r>
      <w:r>
        <w:rPr>
          <w:rFonts w:cstheme="minorHAnsi"/>
          <w:szCs w:val="22"/>
          <w:lang w:val="fr-BE"/>
        </w:rPr>
        <w:t>.</w:t>
      </w:r>
    </w:p>
    <w:p w14:paraId="3F736BD8" w14:textId="3873666A" w:rsidR="009875B8" w:rsidRPr="009875B8" w:rsidRDefault="009875B8" w:rsidP="005168BD">
      <w:pPr>
        <w:pStyle w:val="Vade-mecumtitre1"/>
        <w:numPr>
          <w:ilvl w:val="0"/>
          <w:numId w:val="0"/>
        </w:numPr>
        <w:ind w:left="432" w:hanging="432"/>
      </w:pPr>
      <w:bookmarkStart w:id="228" w:name="_Toc232305918"/>
      <w:bookmarkStart w:id="229" w:name="_Toc19591195"/>
      <w:bookmarkStart w:id="230" w:name="_Toc12862736"/>
      <w:bookmarkStart w:id="231" w:name="_Toc12079540"/>
      <w:bookmarkStart w:id="232" w:name="_Toc230745"/>
      <w:bookmarkStart w:id="233" w:name="_Toc230691"/>
      <w:bookmarkStart w:id="234" w:name="_Toc529747447"/>
      <w:bookmarkStart w:id="235" w:name="_Toc529700591"/>
      <w:bookmarkStart w:id="236" w:name="_Toc529699975"/>
      <w:bookmarkStart w:id="237" w:name="_Toc347134738"/>
      <w:bookmarkStart w:id="238" w:name="_Toc486524212"/>
      <w:bookmarkStart w:id="239" w:name="_Toc487533676"/>
      <w:bookmarkStart w:id="240" w:name="_Toc12453046"/>
      <w:bookmarkStart w:id="241" w:name="_Toc77719402"/>
      <w:bookmarkStart w:id="242" w:name="_Toc108509943"/>
      <w:bookmarkStart w:id="243" w:name="_Toc117603207"/>
      <w:r w:rsidRPr="009875B8">
        <w:t>A10. Pri</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008675DF">
        <w:t>x</w:t>
      </w:r>
      <w:bookmarkEnd w:id="243"/>
    </w:p>
    <w:p w14:paraId="49FD18BB" w14:textId="7C23C92A" w:rsidR="009875B8" w:rsidRPr="009875B8" w:rsidRDefault="009875B8" w:rsidP="005168BD">
      <w:pPr>
        <w:pStyle w:val="Vade-mecumtitre2"/>
      </w:pPr>
      <w:bookmarkStart w:id="244" w:name="_Toc232305919"/>
      <w:bookmarkStart w:id="245" w:name="_Toc19591196"/>
      <w:bookmarkStart w:id="246" w:name="_Toc12862737"/>
      <w:bookmarkStart w:id="247" w:name="_Toc12079541"/>
      <w:bookmarkStart w:id="248" w:name="_Toc230746"/>
      <w:bookmarkStart w:id="249" w:name="_Toc230692"/>
      <w:bookmarkStart w:id="250" w:name="_Toc529747448"/>
      <w:bookmarkStart w:id="251" w:name="_Toc529700592"/>
      <w:bookmarkStart w:id="252" w:name="_Toc529699976"/>
      <w:bookmarkStart w:id="253" w:name="_Toc347134739"/>
      <w:bookmarkStart w:id="254" w:name="_Toc486524213"/>
      <w:bookmarkStart w:id="255" w:name="_Toc487533677"/>
      <w:bookmarkStart w:id="256" w:name="_Toc12453047"/>
      <w:bookmarkStart w:id="257" w:name="_Toc108509944"/>
      <w:bookmarkStart w:id="258" w:name="_Toc113544452"/>
      <w:bookmarkStart w:id="259" w:name="_Toc114066754"/>
      <w:bookmarkStart w:id="260" w:name="_Toc116387746"/>
      <w:bookmarkStart w:id="261" w:name="_Toc117603208"/>
      <w:r w:rsidRPr="009875B8">
        <w:t>A10.1 Pri</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008675DF">
        <w:t>x</w:t>
      </w:r>
      <w:bookmarkEnd w:id="260"/>
      <w:bookmarkEnd w:id="261"/>
    </w:p>
    <w:p w14:paraId="73206B55" w14:textId="77777777" w:rsidR="00893EB8" w:rsidRPr="00893EB8" w:rsidRDefault="00893EB8" w:rsidP="00893EB8">
      <w:pPr>
        <w:snapToGrid w:val="0"/>
        <w:spacing w:after="120" w:line="240" w:lineRule="auto"/>
        <w:ind w:firstLine="11"/>
        <w:jc w:val="both"/>
        <w:rPr>
          <w:lang w:val="fr-BE"/>
        </w:rPr>
      </w:pPr>
      <w:r w:rsidRPr="00893EB8">
        <w:rPr>
          <w:lang w:val="fr-BE"/>
        </w:rPr>
        <w:t>Tous les prix mentionnés dans le formulaire d’offre doivent être obligatoirement libellés en EURO.</w:t>
      </w:r>
    </w:p>
    <w:p w14:paraId="3DC2A42D" w14:textId="77777777" w:rsidR="00893EB8" w:rsidRPr="00893EB8" w:rsidRDefault="00893EB8" w:rsidP="00893EB8">
      <w:pPr>
        <w:snapToGrid w:val="0"/>
        <w:spacing w:after="120" w:line="240" w:lineRule="auto"/>
        <w:ind w:firstLine="11"/>
        <w:jc w:val="both"/>
        <w:rPr>
          <w:lang w:val="fr-BE"/>
        </w:rPr>
      </w:pPr>
      <w:r w:rsidRPr="00435AE4">
        <w:rPr>
          <w:lang w:val="fr-BE"/>
        </w:rPr>
        <w:t>Le présent marché est un marché à prix global, ce qui signifie que le prix global est forfaitaire.</w:t>
      </w:r>
    </w:p>
    <w:p w14:paraId="6F211568" w14:textId="77777777" w:rsidR="00893EB8" w:rsidRPr="00893EB8" w:rsidRDefault="00893EB8" w:rsidP="00893EB8">
      <w:pPr>
        <w:snapToGrid w:val="0"/>
        <w:spacing w:after="120" w:line="240" w:lineRule="auto"/>
        <w:ind w:firstLine="11"/>
        <w:jc w:val="both"/>
        <w:rPr>
          <w:lang w:val="fr-BE"/>
        </w:rPr>
      </w:pPr>
      <w:r w:rsidRPr="00893EB8">
        <w:rPr>
          <w:lang w:val="fr-BE"/>
        </w:rPr>
        <w:t>L’adjudicataire est censé avoir inclus dans son prix unitaire tous les frais possibles grevant les services, à l’exception de la TVA.</w:t>
      </w:r>
    </w:p>
    <w:p w14:paraId="116584AE" w14:textId="037E361B" w:rsidR="00893EB8" w:rsidRPr="00893EB8" w:rsidRDefault="00893EB8" w:rsidP="00893EB8">
      <w:pPr>
        <w:snapToGrid w:val="0"/>
        <w:spacing w:after="120" w:line="240" w:lineRule="auto"/>
        <w:ind w:firstLine="11"/>
        <w:jc w:val="both"/>
        <w:rPr>
          <w:lang w:val="fr-BE"/>
        </w:rPr>
      </w:pPr>
      <w:r w:rsidRPr="00142F56">
        <w:rPr>
          <w:lang w:val="fr-BE"/>
        </w:rPr>
        <w:lastRenderedPageBreak/>
        <w:t>Pour un aperçu des coûts à inclure dans le prix, voir le point C1</w:t>
      </w:r>
      <w:r w:rsidRPr="00A83D64">
        <w:rPr>
          <w:lang w:val="fr-BE"/>
        </w:rPr>
        <w:t xml:space="preserve"> </w:t>
      </w:r>
      <w:r w:rsidRPr="00142F56">
        <w:rPr>
          <w:lang w:val="fr-BE"/>
        </w:rPr>
        <w:t xml:space="preserve">Fiche </w:t>
      </w:r>
      <w:r w:rsidR="0002771E" w:rsidRPr="00142F56">
        <w:rPr>
          <w:lang w:val="fr-BE"/>
        </w:rPr>
        <w:t>d</w:t>
      </w:r>
      <w:r w:rsidR="002A1F52" w:rsidRPr="00142F56">
        <w:rPr>
          <w:lang w:val="fr-BE"/>
        </w:rPr>
        <w:t>e renseignements</w:t>
      </w:r>
      <w:r w:rsidRPr="00142F56">
        <w:rPr>
          <w:lang w:val="fr-BE"/>
        </w:rPr>
        <w:t xml:space="preserve"> - offre technique et financière.</w:t>
      </w:r>
    </w:p>
    <w:p w14:paraId="7D4F9C80" w14:textId="77777777" w:rsidR="00893EB8" w:rsidRPr="00893EB8" w:rsidRDefault="00893EB8" w:rsidP="009875B8">
      <w:pPr>
        <w:snapToGrid w:val="0"/>
        <w:spacing w:after="120" w:line="240" w:lineRule="auto"/>
        <w:ind w:firstLine="11"/>
        <w:jc w:val="both"/>
        <w:rPr>
          <w:lang w:val="fr-BE"/>
        </w:rPr>
      </w:pPr>
    </w:p>
    <w:p w14:paraId="0011845E" w14:textId="26911763" w:rsidR="009875B8" w:rsidRPr="009875B8" w:rsidRDefault="009875B8" w:rsidP="008C54DD">
      <w:pPr>
        <w:pStyle w:val="Vade-mecumtitre2"/>
      </w:pPr>
      <w:bookmarkStart w:id="262" w:name="_Toc486513976"/>
      <w:bookmarkStart w:id="263" w:name="_Toc487533678"/>
      <w:bookmarkStart w:id="264" w:name="_Toc12453048"/>
      <w:bookmarkStart w:id="265" w:name="_Toc108509945"/>
      <w:bookmarkStart w:id="266" w:name="_Toc113544453"/>
      <w:bookmarkStart w:id="267" w:name="_Toc114066755"/>
      <w:bookmarkStart w:id="268" w:name="_Toc116387747"/>
      <w:bookmarkStart w:id="269" w:name="_Toc117603209"/>
      <w:r w:rsidRPr="009875B8">
        <w:t xml:space="preserve">A10.2 </w:t>
      </w:r>
      <w:bookmarkEnd w:id="262"/>
      <w:bookmarkEnd w:id="263"/>
      <w:bookmarkEnd w:id="264"/>
      <w:bookmarkEnd w:id="265"/>
      <w:bookmarkEnd w:id="266"/>
      <w:bookmarkEnd w:id="267"/>
      <w:r w:rsidR="008C54DD" w:rsidRPr="008C54DD">
        <w:t>Révision des prix</w:t>
      </w:r>
      <w:bookmarkEnd w:id="268"/>
      <w:bookmarkEnd w:id="269"/>
    </w:p>
    <w:p w14:paraId="3B0FC1E5" w14:textId="598305A3" w:rsidR="009875B8" w:rsidRPr="008C54DD" w:rsidRDefault="008C54DD" w:rsidP="009875B8">
      <w:pPr>
        <w:snapToGrid w:val="0"/>
        <w:spacing w:after="120"/>
        <w:ind w:firstLine="11"/>
        <w:jc w:val="both"/>
        <w:rPr>
          <w:rFonts w:cstheme="minorHAnsi"/>
          <w:szCs w:val="22"/>
          <w:lang w:val="fr-BE"/>
        </w:rPr>
      </w:pPr>
      <w:r w:rsidRPr="008C54DD">
        <w:rPr>
          <w:rFonts w:cstheme="minorHAnsi"/>
          <w:szCs w:val="22"/>
          <w:lang w:val="fr-BE"/>
        </w:rPr>
        <w:t>Pour le présent marché, aucune révision des prix n’est applicable.</w:t>
      </w:r>
    </w:p>
    <w:p w14:paraId="668E4D6D" w14:textId="71810601" w:rsidR="009875B8" w:rsidRPr="00282758" w:rsidRDefault="009875B8" w:rsidP="005168BD">
      <w:pPr>
        <w:pStyle w:val="Vade-mecumtitre1"/>
        <w:numPr>
          <w:ilvl w:val="0"/>
          <w:numId w:val="0"/>
        </w:numPr>
        <w:ind w:left="432" w:hanging="432"/>
        <w:rPr>
          <w:lang w:val="fr-BE"/>
        </w:rPr>
      </w:pPr>
      <w:bookmarkStart w:id="270" w:name="_Toc529699979"/>
      <w:bookmarkStart w:id="271" w:name="_Toc529700595"/>
      <w:bookmarkStart w:id="272" w:name="_Toc529747451"/>
      <w:bookmarkStart w:id="273" w:name="_Toc230695"/>
      <w:bookmarkStart w:id="274" w:name="_Toc230749"/>
      <w:bookmarkStart w:id="275" w:name="_Toc12079544"/>
      <w:bookmarkStart w:id="276" w:name="_Toc12862740"/>
      <w:bookmarkStart w:id="277" w:name="_Toc19591199"/>
      <w:bookmarkStart w:id="278" w:name="_Toc232304315"/>
      <w:bookmarkStart w:id="279" w:name="_Toc347134744"/>
      <w:bookmarkStart w:id="280" w:name="_Toc486524218"/>
      <w:bookmarkStart w:id="281" w:name="_Toc487533679"/>
      <w:bookmarkStart w:id="282" w:name="_Toc12453049"/>
      <w:bookmarkStart w:id="283" w:name="_Toc77719403"/>
      <w:bookmarkStart w:id="284" w:name="_Toc108509946"/>
      <w:bookmarkStart w:id="285" w:name="_Toc117603210"/>
      <w:r w:rsidRPr="00282758">
        <w:rPr>
          <w:lang w:val="fr-BE"/>
        </w:rPr>
        <w:t xml:space="preserve">A11. </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00282758" w:rsidRPr="00282758">
        <w:rPr>
          <w:lang w:val="fr-BE"/>
        </w:rPr>
        <w:t>Sélection – Régularité des offres – Critères</w:t>
      </w:r>
      <w:r w:rsidR="00282758">
        <w:rPr>
          <w:lang w:val="fr-BE"/>
        </w:rPr>
        <w:t xml:space="preserve"> </w:t>
      </w:r>
      <w:r w:rsidR="00282758" w:rsidRPr="00282758">
        <w:rPr>
          <w:lang w:val="fr-BE"/>
        </w:rPr>
        <w:t>d’attribution</w:t>
      </w:r>
      <w:bookmarkEnd w:id="285"/>
    </w:p>
    <w:p w14:paraId="5976D5F4" w14:textId="73CF4623" w:rsidR="008C1DFC" w:rsidRDefault="009875B8" w:rsidP="005168BD">
      <w:pPr>
        <w:pStyle w:val="Vade-mecumtitre2"/>
      </w:pPr>
      <w:bookmarkStart w:id="286" w:name="_Toc487533680"/>
      <w:bookmarkStart w:id="287" w:name="_Toc12453050"/>
      <w:bookmarkStart w:id="288" w:name="_Toc113544455"/>
      <w:bookmarkStart w:id="289" w:name="_Toc114066757"/>
      <w:bookmarkStart w:id="290" w:name="_Toc116387749"/>
      <w:bookmarkStart w:id="291" w:name="_Toc117603211"/>
      <w:bookmarkStart w:id="292" w:name="_Toc108509947"/>
      <w:bookmarkStart w:id="293" w:name="_Toc486524220"/>
      <w:bookmarkStart w:id="294" w:name="_Toc486524219"/>
      <w:bookmarkStart w:id="295" w:name="_Toc529699980"/>
      <w:bookmarkStart w:id="296" w:name="_Toc529700596"/>
      <w:bookmarkStart w:id="297" w:name="_Toc529747452"/>
      <w:bookmarkStart w:id="298" w:name="_Toc230696"/>
      <w:bookmarkStart w:id="299" w:name="_Toc230750"/>
      <w:bookmarkStart w:id="300" w:name="_Toc12079545"/>
      <w:bookmarkStart w:id="301" w:name="_Toc12862741"/>
      <w:bookmarkStart w:id="302" w:name="_Toc19591200"/>
      <w:bookmarkStart w:id="303" w:name="_Toc232304316"/>
      <w:bookmarkStart w:id="304" w:name="_Toc347134745"/>
      <w:r w:rsidRPr="009875B8">
        <w:t xml:space="preserve">A11.1 </w:t>
      </w:r>
      <w:bookmarkEnd w:id="286"/>
      <w:bookmarkEnd w:id="287"/>
      <w:r w:rsidR="00282758">
        <w:t>La</w:t>
      </w:r>
      <w:r w:rsidR="008C1DFC">
        <w:t xml:space="preserve"> s</w:t>
      </w:r>
      <w:r w:rsidR="00282758">
        <w:t>é</w:t>
      </w:r>
      <w:r w:rsidR="008C1DFC">
        <w:t>lecti</w:t>
      </w:r>
      <w:bookmarkEnd w:id="288"/>
      <w:bookmarkEnd w:id="289"/>
      <w:r w:rsidR="00282758">
        <w:t>on</w:t>
      </w:r>
      <w:bookmarkEnd w:id="290"/>
      <w:bookmarkEnd w:id="291"/>
    </w:p>
    <w:p w14:paraId="5341B310" w14:textId="561BC669" w:rsidR="005E4F5A" w:rsidRPr="00B44A01" w:rsidRDefault="00B44A01" w:rsidP="005E4F5A">
      <w:pPr>
        <w:snapToGrid w:val="0"/>
        <w:spacing w:after="120" w:line="240" w:lineRule="auto"/>
        <w:jc w:val="both"/>
        <w:rPr>
          <w:lang w:val="fr-BE"/>
        </w:rPr>
      </w:pPr>
      <w:bookmarkStart w:id="305" w:name="_Toc487533682"/>
      <w:bookmarkEnd w:id="292"/>
      <w:bookmarkEnd w:id="293"/>
      <w:bookmarkEnd w:id="294"/>
      <w:bookmarkEnd w:id="295"/>
      <w:bookmarkEnd w:id="296"/>
      <w:bookmarkEnd w:id="297"/>
      <w:bookmarkEnd w:id="298"/>
      <w:bookmarkEnd w:id="299"/>
      <w:bookmarkEnd w:id="300"/>
      <w:bookmarkEnd w:id="301"/>
      <w:bookmarkEnd w:id="302"/>
      <w:bookmarkEnd w:id="303"/>
      <w:bookmarkEnd w:id="304"/>
      <w:r w:rsidRPr="00B44A01">
        <w:rPr>
          <w:lang w:val="fr-BE"/>
        </w:rPr>
        <w:t>Les soumissionnaires sont évalués sur la base des critères de sélection repris ci-après.</w:t>
      </w:r>
    </w:p>
    <w:p w14:paraId="0D296F7E" w14:textId="0C81B0D2" w:rsidR="00B44A01" w:rsidRPr="00B44A01" w:rsidRDefault="00B44A01" w:rsidP="00B44A01">
      <w:pPr>
        <w:snapToGrid w:val="0"/>
        <w:spacing w:after="120" w:line="240" w:lineRule="auto"/>
        <w:ind w:firstLine="11"/>
        <w:jc w:val="both"/>
        <w:rPr>
          <w:lang w:val="fr-BE"/>
        </w:rPr>
      </w:pPr>
      <w:r w:rsidRPr="00B44A01">
        <w:rPr>
          <w:lang w:val="fr-BE"/>
        </w:rPr>
        <w:t>Seules les offres des soumissionnaires qui satisfont aux critères de sélection sont prises en considération pour participer à la comparaison des offres sur la base des critères d’attribution repris au présent cahier spécial des charges, dans la mesure où ces offres sont régulières.</w:t>
      </w:r>
      <w:r w:rsidRPr="00B44A01">
        <w:rPr>
          <w:rFonts w:ascii="Times New Roman" w:hAnsi="Times New Roman" w:cs="Times New Roman"/>
          <w:lang w:val="fr-BE"/>
        </w:rPr>
        <w:t> </w:t>
      </w:r>
      <w:r w:rsidRPr="00B44A01">
        <w:rPr>
          <w:lang w:val="fr-BE"/>
        </w:rPr>
        <w:t xml:space="preserve"> </w:t>
      </w:r>
    </w:p>
    <w:p w14:paraId="0C780C26" w14:textId="06066E72" w:rsidR="00B44A01" w:rsidRPr="00B44A01" w:rsidRDefault="00B44A01" w:rsidP="00B44A01">
      <w:pPr>
        <w:snapToGrid w:val="0"/>
        <w:spacing w:after="120" w:line="240" w:lineRule="auto"/>
        <w:ind w:firstLine="11"/>
        <w:jc w:val="both"/>
        <w:rPr>
          <w:lang w:val="fr-BE"/>
        </w:rPr>
      </w:pPr>
      <w:r w:rsidRPr="00B44A01">
        <w:rPr>
          <w:lang w:val="fr-BE"/>
        </w:rPr>
        <w:t>Par le dépôt de son offre accompagné du document unique de marché européen (DUME), le soumissionnaire déclare officiellement sur l’honneur</w:t>
      </w:r>
      <w:r w:rsidR="0069058C">
        <w:rPr>
          <w:lang w:val="fr-BE"/>
        </w:rPr>
        <w:t xml:space="preserve"> </w:t>
      </w:r>
      <w:r w:rsidRPr="00B44A01">
        <w:rPr>
          <w:lang w:val="fr-BE"/>
        </w:rPr>
        <w:t>:</w:t>
      </w:r>
      <w:r w:rsidRPr="00B44A01">
        <w:rPr>
          <w:rFonts w:ascii="Times New Roman" w:hAnsi="Times New Roman" w:cs="Times New Roman"/>
          <w:lang w:val="fr-BE"/>
        </w:rPr>
        <w:t> </w:t>
      </w:r>
    </w:p>
    <w:p w14:paraId="204C00B3" w14:textId="50B103B6" w:rsidR="005E4F5A" w:rsidRPr="00DC43CE" w:rsidRDefault="005E4F5A" w:rsidP="005E4F5A">
      <w:pPr>
        <w:snapToGrid w:val="0"/>
        <w:spacing w:after="120" w:line="240" w:lineRule="auto"/>
        <w:ind w:firstLine="11"/>
        <w:jc w:val="both"/>
        <w:rPr>
          <w:lang w:val="fr-BE"/>
        </w:rPr>
      </w:pPr>
      <w:r w:rsidRPr="00DC43CE">
        <w:rPr>
          <w:lang w:val="fr-BE"/>
        </w:rPr>
        <w:t>1°</w:t>
      </w:r>
      <w:r w:rsidRPr="00DC43CE">
        <w:rPr>
          <w:lang w:val="fr-BE"/>
        </w:rPr>
        <w:tab/>
      </w:r>
      <w:r w:rsidR="00DC43CE" w:rsidRPr="00DC43CE">
        <w:rPr>
          <w:lang w:val="fr-BE"/>
        </w:rPr>
        <w:t>qu’il ne se trouve pas dans un des cas d’exclusion obligatoires ou facultatifs, qui doit ou peut entraîner son exclusion</w:t>
      </w:r>
      <w:r w:rsidR="0069058C">
        <w:rPr>
          <w:lang w:val="fr-BE"/>
        </w:rPr>
        <w:t xml:space="preserve"> </w:t>
      </w:r>
      <w:r w:rsidR="00DC43CE" w:rsidRPr="00DC43CE">
        <w:rPr>
          <w:lang w:val="fr-BE"/>
        </w:rPr>
        <w:t>;</w:t>
      </w:r>
      <w:r w:rsidR="00DC43CE" w:rsidRPr="00DC43CE">
        <w:rPr>
          <w:rFonts w:ascii="Times New Roman" w:hAnsi="Times New Roman" w:cs="Times New Roman"/>
          <w:lang w:val="fr-BE"/>
        </w:rPr>
        <w:t> </w:t>
      </w:r>
    </w:p>
    <w:p w14:paraId="1EC3A91F" w14:textId="7FB90163" w:rsidR="005E4F5A" w:rsidRPr="00A61D13" w:rsidRDefault="005E4F5A" w:rsidP="005E4F5A">
      <w:pPr>
        <w:snapToGrid w:val="0"/>
        <w:spacing w:after="120" w:line="240" w:lineRule="auto"/>
        <w:ind w:firstLine="11"/>
        <w:jc w:val="both"/>
        <w:rPr>
          <w:lang w:val="fr-BE"/>
        </w:rPr>
      </w:pPr>
      <w:r w:rsidRPr="00A61D13">
        <w:rPr>
          <w:lang w:val="fr-BE"/>
        </w:rPr>
        <w:t>2°</w:t>
      </w:r>
      <w:r w:rsidRPr="00A61D13">
        <w:rPr>
          <w:lang w:val="fr-BE"/>
        </w:rPr>
        <w:tab/>
      </w:r>
      <w:r w:rsidR="00A61D13">
        <w:rPr>
          <w:lang w:val="fr-BE"/>
        </w:rPr>
        <w:t>q</w:t>
      </w:r>
      <w:r w:rsidR="00A61D13" w:rsidRPr="00A61D13">
        <w:rPr>
          <w:lang w:val="fr-BE"/>
        </w:rPr>
        <w:t>u’il répond aux critères de sélection qui ont été établis par le pouvoir adjudicateur dans le présent marché.</w:t>
      </w:r>
      <w:r w:rsidR="00A61D13" w:rsidRPr="00A61D13">
        <w:rPr>
          <w:rFonts w:ascii="Times New Roman" w:hAnsi="Times New Roman" w:cs="Times New Roman"/>
          <w:lang w:val="fr-BE"/>
        </w:rPr>
        <w:t> </w:t>
      </w:r>
    </w:p>
    <w:p w14:paraId="533BD8C9" w14:textId="5E840AA4" w:rsidR="005E4F5A" w:rsidRPr="00F00C1A" w:rsidRDefault="00F00C1A" w:rsidP="005E4F5A">
      <w:pPr>
        <w:snapToGrid w:val="0"/>
        <w:spacing w:after="120" w:line="240" w:lineRule="auto"/>
        <w:ind w:firstLine="11"/>
        <w:jc w:val="both"/>
        <w:rPr>
          <w:lang w:val="fr-BE"/>
        </w:rPr>
      </w:pPr>
      <w:r w:rsidRPr="00F00C1A">
        <w:rPr>
          <w:lang w:val="fr-BE"/>
        </w:rPr>
        <w:t>Le pouvoir adjudicateur demandera au soumissionnaire, si nécessaire, à tout moment de la procédure, de fournir tout ou partie des documents justificatifs, si cela est nécessaire pour assurer le bon déroulement de la procédure.</w:t>
      </w:r>
      <w:r w:rsidRPr="00F00C1A">
        <w:rPr>
          <w:rFonts w:ascii="Times New Roman" w:hAnsi="Times New Roman" w:cs="Times New Roman"/>
          <w:lang w:val="fr-BE"/>
        </w:rPr>
        <w:t> </w:t>
      </w:r>
    </w:p>
    <w:p w14:paraId="13F8CC93" w14:textId="0E40E208" w:rsidR="009875B8" w:rsidRPr="00F00C1A" w:rsidRDefault="00F00C1A" w:rsidP="005E4F5A">
      <w:pPr>
        <w:snapToGrid w:val="0"/>
        <w:spacing w:after="120" w:line="240" w:lineRule="auto"/>
        <w:ind w:firstLine="11"/>
        <w:jc w:val="both"/>
        <w:rPr>
          <w:lang w:val="fr-BE"/>
        </w:rPr>
      </w:pPr>
      <w:r w:rsidRPr="00F00C1A">
        <w:rPr>
          <w:lang w:val="fr-BE"/>
        </w:rPr>
        <w:t>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w:t>
      </w:r>
      <w:r w:rsidRPr="00F00C1A">
        <w:rPr>
          <w:rFonts w:ascii="Times New Roman" w:hAnsi="Times New Roman" w:cs="Times New Roman"/>
          <w:lang w:val="fr-BE"/>
        </w:rPr>
        <w:t>  </w:t>
      </w:r>
    </w:p>
    <w:p w14:paraId="6E99E08D" w14:textId="06BA1C33" w:rsidR="00394D14" w:rsidRDefault="00FF7C20" w:rsidP="005E4F5A">
      <w:pPr>
        <w:snapToGrid w:val="0"/>
        <w:spacing w:after="120" w:line="240" w:lineRule="auto"/>
        <w:ind w:firstLine="11"/>
        <w:jc w:val="both"/>
        <w:rPr>
          <w:rFonts w:ascii="Times New Roman" w:hAnsi="Times New Roman" w:cs="Times New Roman"/>
          <w:lang w:val="fr-BE"/>
        </w:rPr>
      </w:pPr>
      <w:r w:rsidRPr="00FF7C20">
        <w:rPr>
          <w:lang w:val="fr-BE"/>
        </w:rPr>
        <w:t>À l’exception des motifs d’exclusion relatifs aux dettes fiscales et sociales, le soumissionnaire qui se trouve dans l’une des situations d’exclusion obligatoires ou facultatives peut fournir des preuves qu’il a pris des mesures correctives afin de démontrer sa fiabilité. À cette fin, le soumissionnaire prouve d’initiative qu’il a versé ou entrepris de verser une indemnité en réparation de tout préjudice causé par l’infraction pénale ou la faute, qu’il a clarifié totalement les faits et circonstances en collaborant activement avec les autorités chargées de l’enquête et qu’il a pris des mesures concrètes de nature technique et organisationnelle et en matière de personnel propres à prévenir une nouvelle infraction pénale ou une nouvelle faute.</w:t>
      </w:r>
      <w:r w:rsidRPr="00FF7C20">
        <w:rPr>
          <w:rFonts w:ascii="Times New Roman" w:hAnsi="Times New Roman" w:cs="Times New Roman"/>
          <w:lang w:val="fr-BE"/>
        </w:rPr>
        <w:t> </w:t>
      </w:r>
    </w:p>
    <w:p w14:paraId="2CD8977C" w14:textId="4BF7F795" w:rsidR="00142F56" w:rsidRDefault="00142F56" w:rsidP="005E4F5A">
      <w:pPr>
        <w:snapToGrid w:val="0"/>
        <w:spacing w:after="120" w:line="240" w:lineRule="auto"/>
        <w:ind w:firstLine="11"/>
        <w:jc w:val="both"/>
        <w:rPr>
          <w:lang w:val="fr-BE"/>
        </w:rPr>
      </w:pPr>
    </w:p>
    <w:p w14:paraId="02E1E3CD" w14:textId="1E1A8D75" w:rsidR="009B063C" w:rsidRDefault="009B063C" w:rsidP="005E4F5A">
      <w:pPr>
        <w:snapToGrid w:val="0"/>
        <w:spacing w:after="120" w:line="240" w:lineRule="auto"/>
        <w:ind w:firstLine="11"/>
        <w:jc w:val="both"/>
        <w:rPr>
          <w:lang w:val="fr-BE"/>
        </w:rPr>
      </w:pPr>
    </w:p>
    <w:p w14:paraId="7BB1865C" w14:textId="77777777" w:rsidR="009B063C" w:rsidRPr="00FF7C20" w:rsidRDefault="009B063C" w:rsidP="005E4F5A">
      <w:pPr>
        <w:snapToGrid w:val="0"/>
        <w:spacing w:after="120" w:line="240" w:lineRule="auto"/>
        <w:ind w:firstLine="11"/>
        <w:jc w:val="both"/>
        <w:rPr>
          <w:lang w:val="fr-BE"/>
        </w:rPr>
      </w:pPr>
    </w:p>
    <w:p w14:paraId="24492D1D" w14:textId="352F087A" w:rsidR="005E4F5A" w:rsidRPr="009875B8" w:rsidRDefault="005E4F5A" w:rsidP="00A61D13">
      <w:pPr>
        <w:pStyle w:val="Vade-mecumtitre3"/>
      </w:pPr>
      <w:bookmarkStart w:id="306" w:name="_Toc113544456"/>
      <w:bookmarkStart w:id="307" w:name="_Toc114066758"/>
      <w:bookmarkStart w:id="308" w:name="_Toc116387750"/>
      <w:bookmarkStart w:id="309" w:name="_Toc117603212"/>
      <w:r>
        <w:lastRenderedPageBreak/>
        <w:t xml:space="preserve">A11.1.1 </w:t>
      </w:r>
      <w:bookmarkEnd w:id="306"/>
      <w:bookmarkEnd w:id="307"/>
      <w:r w:rsidR="00A61D13" w:rsidRPr="00A61D13">
        <w:t>Motifs d’exclusion</w:t>
      </w:r>
      <w:r w:rsidR="00A61D13" w:rsidRPr="00A61D13">
        <w:rPr>
          <w:rFonts w:ascii="Times New Roman" w:hAnsi="Times New Roman" w:cs="Times New Roman"/>
        </w:rPr>
        <w:t> </w:t>
      </w:r>
      <w:bookmarkEnd w:id="308"/>
      <w:bookmarkEnd w:id="309"/>
    </w:p>
    <w:p w14:paraId="4ACCDCB9" w14:textId="3E088449" w:rsidR="009875B8" w:rsidRPr="00077980" w:rsidRDefault="00A61D13" w:rsidP="00077980">
      <w:pPr>
        <w:jc w:val="left"/>
        <w:rPr>
          <w:b/>
          <w:bCs/>
          <w:lang w:val="nl-NL"/>
        </w:rPr>
      </w:pPr>
      <w:bookmarkStart w:id="310" w:name="_Hlk106783687"/>
      <w:r w:rsidRPr="00A61D13">
        <w:rPr>
          <w:b/>
          <w:bCs/>
          <w:lang w:val="nl-NL"/>
        </w:rPr>
        <w:t>Motifs d’exclusion obligatoires</w:t>
      </w:r>
      <w:r w:rsidRPr="00A61D13">
        <w:rPr>
          <w:rFonts w:ascii="Times New Roman" w:hAnsi="Times New Roman" w:cs="Times New Roman"/>
          <w:b/>
          <w:bCs/>
          <w:lang w:val="nl-NL"/>
        </w:rPr>
        <w:t> </w:t>
      </w:r>
    </w:p>
    <w:bookmarkEnd w:id="310"/>
    <w:p w14:paraId="303C7D53" w14:textId="0F53BACA" w:rsidR="009875B8" w:rsidRPr="00191117" w:rsidRDefault="009875B8" w:rsidP="009875B8">
      <w:pPr>
        <w:snapToGrid w:val="0"/>
        <w:spacing w:after="120" w:line="240" w:lineRule="auto"/>
        <w:ind w:left="426" w:hanging="426"/>
        <w:jc w:val="both"/>
        <w:rPr>
          <w:rFonts w:cs="Calibri"/>
          <w:szCs w:val="22"/>
          <w:lang w:val="fr-BE" w:eastAsia="nl-NL"/>
        </w:rPr>
      </w:pPr>
      <w:r w:rsidRPr="00191117">
        <w:rPr>
          <w:rFonts w:cstheme="minorHAnsi"/>
          <w:szCs w:val="22"/>
          <w:lang w:val="fr-BE"/>
        </w:rPr>
        <w:t>1°</w:t>
      </w:r>
      <w:r w:rsidRPr="00191117">
        <w:rPr>
          <w:rFonts w:cstheme="minorHAnsi"/>
          <w:szCs w:val="22"/>
          <w:lang w:val="fr-BE"/>
        </w:rPr>
        <w:tab/>
      </w:r>
      <w:r w:rsidR="00191117" w:rsidRPr="00191117">
        <w:rPr>
          <w:rFonts w:cs="Calibri"/>
          <w:szCs w:val="22"/>
          <w:lang w:val="fr-BE" w:eastAsia="nl-NL"/>
        </w:rPr>
        <w:t>participation à une organisation criminelle</w:t>
      </w:r>
      <w:r w:rsidR="0069058C">
        <w:rPr>
          <w:rFonts w:cs="Calibri"/>
          <w:szCs w:val="22"/>
          <w:lang w:val="fr-BE" w:eastAsia="nl-NL"/>
        </w:rPr>
        <w:t xml:space="preserve"> </w:t>
      </w:r>
      <w:r w:rsidR="00191117" w:rsidRPr="00191117">
        <w:rPr>
          <w:rFonts w:cs="Calibri"/>
          <w:szCs w:val="22"/>
          <w:lang w:val="fr-BE" w:eastAsia="nl-NL"/>
        </w:rPr>
        <w:t>;</w:t>
      </w:r>
    </w:p>
    <w:p w14:paraId="1BA0A402" w14:textId="57F2AFCB" w:rsidR="009875B8" w:rsidRPr="006E1904" w:rsidRDefault="009875B8" w:rsidP="009875B8">
      <w:pPr>
        <w:snapToGrid w:val="0"/>
        <w:spacing w:after="120" w:line="240" w:lineRule="auto"/>
        <w:ind w:left="426" w:hanging="426"/>
        <w:jc w:val="both"/>
        <w:rPr>
          <w:rFonts w:cs="Calibri"/>
          <w:szCs w:val="22"/>
          <w:lang w:val="fr-BE" w:eastAsia="nl-NL"/>
        </w:rPr>
      </w:pPr>
      <w:r w:rsidRPr="006E1904">
        <w:rPr>
          <w:rFonts w:cs="Calibri"/>
          <w:szCs w:val="22"/>
          <w:lang w:val="fr-BE" w:eastAsia="nl-NL"/>
        </w:rPr>
        <w:t>2°</w:t>
      </w:r>
      <w:r w:rsidRPr="006E1904">
        <w:rPr>
          <w:rFonts w:cs="Calibri"/>
          <w:szCs w:val="22"/>
          <w:lang w:val="fr-BE" w:eastAsia="nl-NL"/>
        </w:rPr>
        <w:tab/>
      </w:r>
      <w:r w:rsidR="00A61D13" w:rsidRPr="006E1904">
        <w:rPr>
          <w:rFonts w:cs="Calibri"/>
          <w:szCs w:val="22"/>
          <w:lang w:val="fr-BE" w:eastAsia="nl-NL"/>
        </w:rPr>
        <w:t>corruption</w:t>
      </w:r>
      <w:r w:rsidRPr="006E1904">
        <w:rPr>
          <w:rFonts w:cs="Calibri"/>
          <w:szCs w:val="22"/>
          <w:lang w:val="fr-BE" w:eastAsia="nl-NL"/>
        </w:rPr>
        <w:t>;</w:t>
      </w:r>
    </w:p>
    <w:p w14:paraId="7CC0A5CF" w14:textId="77777777" w:rsidR="009875B8" w:rsidRPr="006E1904" w:rsidRDefault="009875B8" w:rsidP="009875B8">
      <w:pPr>
        <w:snapToGrid w:val="0"/>
        <w:spacing w:after="120" w:line="240" w:lineRule="auto"/>
        <w:ind w:left="426" w:hanging="426"/>
        <w:jc w:val="both"/>
        <w:rPr>
          <w:rFonts w:cs="Calibri"/>
          <w:szCs w:val="22"/>
          <w:lang w:val="fr-BE" w:eastAsia="nl-NL"/>
        </w:rPr>
      </w:pPr>
      <w:r w:rsidRPr="006E1904">
        <w:rPr>
          <w:rFonts w:cs="Calibri"/>
          <w:szCs w:val="22"/>
          <w:lang w:val="fr-BE" w:eastAsia="nl-NL"/>
        </w:rPr>
        <w:t>3°</w:t>
      </w:r>
      <w:r w:rsidRPr="006E1904">
        <w:rPr>
          <w:rFonts w:cs="Calibri"/>
          <w:szCs w:val="22"/>
          <w:lang w:val="fr-BE" w:eastAsia="nl-NL"/>
        </w:rPr>
        <w:tab/>
        <w:t>fraude;</w:t>
      </w:r>
    </w:p>
    <w:p w14:paraId="05A5E22D" w14:textId="7D62AAE2" w:rsidR="009875B8" w:rsidRPr="00191117" w:rsidRDefault="009875B8" w:rsidP="009875B8">
      <w:pPr>
        <w:snapToGrid w:val="0"/>
        <w:spacing w:after="120" w:line="240" w:lineRule="auto"/>
        <w:ind w:left="426" w:hanging="426"/>
        <w:jc w:val="both"/>
        <w:rPr>
          <w:rFonts w:cs="Calibri"/>
          <w:szCs w:val="22"/>
          <w:lang w:val="fr-BE" w:eastAsia="nl-NL"/>
        </w:rPr>
      </w:pPr>
      <w:r w:rsidRPr="00191117">
        <w:rPr>
          <w:rFonts w:cs="Calibri"/>
          <w:szCs w:val="22"/>
          <w:lang w:val="fr-BE" w:eastAsia="nl-NL"/>
        </w:rPr>
        <w:t>4°</w:t>
      </w:r>
      <w:r w:rsidRPr="00191117">
        <w:rPr>
          <w:rFonts w:cs="Calibri"/>
          <w:szCs w:val="22"/>
          <w:lang w:val="fr-BE" w:eastAsia="nl-NL"/>
        </w:rPr>
        <w:tab/>
      </w:r>
      <w:r w:rsidR="00191117">
        <w:rPr>
          <w:rFonts w:cs="Calibri"/>
          <w:szCs w:val="22"/>
          <w:lang w:val="fr-BE" w:eastAsia="nl-NL"/>
        </w:rPr>
        <w:t>i</w:t>
      </w:r>
      <w:r w:rsidR="00191117" w:rsidRPr="00191117">
        <w:rPr>
          <w:rFonts w:cs="Calibri"/>
          <w:szCs w:val="22"/>
          <w:lang w:val="fr-BE" w:eastAsia="nl-NL"/>
        </w:rPr>
        <w:t>nfractions terroristes, infractions liées aux activités terroristes ou incitation à commettre une telle infraction, complicité ou tentative d’une telle infraction</w:t>
      </w:r>
      <w:r w:rsidR="0069058C">
        <w:rPr>
          <w:rFonts w:cs="Calibri"/>
          <w:szCs w:val="22"/>
          <w:lang w:val="fr-BE" w:eastAsia="nl-NL"/>
        </w:rPr>
        <w:t xml:space="preserve"> </w:t>
      </w:r>
      <w:r w:rsidRPr="00191117">
        <w:rPr>
          <w:rFonts w:cs="Calibri"/>
          <w:szCs w:val="22"/>
          <w:lang w:val="fr-BE" w:eastAsia="nl-NL"/>
        </w:rPr>
        <w:t>;</w:t>
      </w:r>
    </w:p>
    <w:p w14:paraId="47E28215" w14:textId="3484F6CE" w:rsidR="009875B8" w:rsidRPr="00D76489" w:rsidRDefault="009875B8" w:rsidP="009875B8">
      <w:pPr>
        <w:snapToGrid w:val="0"/>
        <w:spacing w:after="120" w:line="240" w:lineRule="auto"/>
        <w:ind w:left="426" w:hanging="426"/>
        <w:jc w:val="both"/>
        <w:rPr>
          <w:rFonts w:cs="Calibri"/>
          <w:szCs w:val="22"/>
          <w:lang w:val="fr-BE" w:eastAsia="nl-NL"/>
        </w:rPr>
      </w:pPr>
      <w:r w:rsidRPr="00D76489">
        <w:rPr>
          <w:rFonts w:cs="Calibri"/>
          <w:szCs w:val="22"/>
          <w:lang w:val="fr-BE" w:eastAsia="nl-NL"/>
        </w:rPr>
        <w:t>5°</w:t>
      </w:r>
      <w:r w:rsidRPr="00D76489">
        <w:rPr>
          <w:rFonts w:cs="Calibri"/>
          <w:szCs w:val="22"/>
          <w:lang w:val="fr-BE" w:eastAsia="nl-NL"/>
        </w:rPr>
        <w:tab/>
      </w:r>
      <w:r w:rsidR="00191117" w:rsidRPr="00D76489">
        <w:rPr>
          <w:rFonts w:cs="Calibri"/>
          <w:szCs w:val="22"/>
          <w:lang w:val="fr-BE" w:eastAsia="nl-NL"/>
        </w:rPr>
        <w:t>blanchiment de capitaux ou financement du terrorisme</w:t>
      </w:r>
      <w:r w:rsidR="0069058C">
        <w:rPr>
          <w:rFonts w:cs="Calibri"/>
          <w:szCs w:val="22"/>
          <w:lang w:val="fr-BE" w:eastAsia="nl-NL"/>
        </w:rPr>
        <w:t xml:space="preserve"> </w:t>
      </w:r>
      <w:r w:rsidRPr="00D76489">
        <w:rPr>
          <w:rFonts w:cs="Calibri"/>
          <w:szCs w:val="22"/>
          <w:lang w:val="fr-BE" w:eastAsia="nl-NL"/>
        </w:rPr>
        <w:t>;</w:t>
      </w:r>
    </w:p>
    <w:p w14:paraId="57A54023" w14:textId="15FBA1BB" w:rsidR="009875B8" w:rsidRPr="00D76489" w:rsidRDefault="009875B8" w:rsidP="009875B8">
      <w:pPr>
        <w:snapToGrid w:val="0"/>
        <w:spacing w:after="120" w:line="240" w:lineRule="auto"/>
        <w:ind w:left="426" w:hanging="426"/>
        <w:jc w:val="both"/>
        <w:rPr>
          <w:rFonts w:cs="Calibri"/>
          <w:szCs w:val="22"/>
          <w:lang w:val="fr-BE" w:eastAsia="nl-NL"/>
        </w:rPr>
      </w:pPr>
      <w:r w:rsidRPr="00D76489">
        <w:rPr>
          <w:rFonts w:cs="Calibri"/>
          <w:szCs w:val="22"/>
          <w:lang w:val="fr-BE" w:eastAsia="nl-NL"/>
        </w:rPr>
        <w:t>6°</w:t>
      </w:r>
      <w:r w:rsidRPr="00D76489">
        <w:rPr>
          <w:rFonts w:cs="Calibri"/>
          <w:szCs w:val="22"/>
          <w:lang w:val="fr-BE" w:eastAsia="nl-NL"/>
        </w:rPr>
        <w:tab/>
      </w:r>
      <w:r w:rsidR="00D76489" w:rsidRPr="00D76489">
        <w:rPr>
          <w:rFonts w:cs="Calibri"/>
          <w:szCs w:val="22"/>
          <w:lang w:val="fr-BE" w:eastAsia="nl-NL"/>
        </w:rPr>
        <w:t>travail des enfants et autres formes de traite des êtres humains</w:t>
      </w:r>
      <w:r w:rsidR="0069058C">
        <w:rPr>
          <w:rFonts w:cs="Calibri"/>
          <w:szCs w:val="22"/>
          <w:lang w:val="fr-BE" w:eastAsia="nl-NL"/>
        </w:rPr>
        <w:t xml:space="preserve"> </w:t>
      </w:r>
      <w:r w:rsidRPr="00D76489">
        <w:rPr>
          <w:rFonts w:cs="Calibri"/>
          <w:szCs w:val="22"/>
          <w:lang w:val="fr-BE" w:eastAsia="nl-NL"/>
        </w:rPr>
        <w:t>;</w:t>
      </w:r>
    </w:p>
    <w:p w14:paraId="799A56C1" w14:textId="768696F0" w:rsidR="009875B8" w:rsidRPr="009A0FE2" w:rsidRDefault="009875B8" w:rsidP="009875B8">
      <w:pPr>
        <w:snapToGrid w:val="0"/>
        <w:spacing w:after="120" w:line="240" w:lineRule="auto"/>
        <w:ind w:left="426" w:hanging="426"/>
        <w:jc w:val="both"/>
        <w:rPr>
          <w:rFonts w:cs="Calibri"/>
          <w:szCs w:val="22"/>
          <w:lang w:val="fr-BE" w:eastAsia="nl-NL"/>
        </w:rPr>
      </w:pPr>
      <w:r w:rsidRPr="009A0FE2">
        <w:rPr>
          <w:rFonts w:cs="Calibri"/>
          <w:szCs w:val="22"/>
          <w:lang w:val="fr-BE" w:eastAsia="nl-NL"/>
        </w:rPr>
        <w:t>7°</w:t>
      </w:r>
      <w:r w:rsidRPr="009A0FE2">
        <w:rPr>
          <w:rFonts w:cs="Calibri"/>
          <w:szCs w:val="22"/>
          <w:lang w:val="fr-BE" w:eastAsia="nl-NL"/>
        </w:rPr>
        <w:tab/>
      </w:r>
      <w:r w:rsidR="009A0FE2" w:rsidRPr="009A0FE2">
        <w:rPr>
          <w:rFonts w:cs="Calibri"/>
          <w:szCs w:val="22"/>
          <w:lang w:val="fr-BE" w:eastAsia="nl-NL"/>
        </w:rPr>
        <w:t>occupation de ressortissants de pays tiers en séjour illégal.</w:t>
      </w:r>
      <w:r w:rsidR="009A0FE2" w:rsidRPr="009A0FE2">
        <w:rPr>
          <w:rFonts w:ascii="Times New Roman" w:hAnsi="Times New Roman" w:cs="Times New Roman"/>
          <w:szCs w:val="22"/>
          <w:lang w:val="fr-BE" w:eastAsia="nl-NL"/>
        </w:rPr>
        <w:t> </w:t>
      </w:r>
    </w:p>
    <w:p w14:paraId="30FF145D" w14:textId="4EB8E2A4" w:rsidR="009875B8" w:rsidRPr="00D76489" w:rsidRDefault="00D76489" w:rsidP="009875B8">
      <w:pPr>
        <w:widowControl w:val="0"/>
        <w:snapToGrid w:val="0"/>
        <w:spacing w:before="240" w:after="120" w:line="240" w:lineRule="auto"/>
        <w:ind w:firstLine="11"/>
        <w:jc w:val="both"/>
        <w:rPr>
          <w:rFonts w:cstheme="minorHAnsi"/>
          <w:szCs w:val="22"/>
          <w:lang w:val="fr-BE"/>
        </w:rPr>
      </w:pPr>
      <w:r w:rsidRPr="00D76489">
        <w:rPr>
          <w:rFonts w:cstheme="minorHAnsi"/>
          <w:szCs w:val="22"/>
          <w:lang w:val="fr-BE"/>
        </w:rPr>
        <w:t>Les exclusions du 1° à 6° s’appliquent pour une période de 5 ans à compter de la date du jugement. Le motif d’exclusion 7° quant à lui s’applique pour une période de 5 ans à partir de la fin de l’infraction.</w:t>
      </w:r>
      <w:r w:rsidRPr="00D76489">
        <w:rPr>
          <w:rFonts w:ascii="Times New Roman" w:hAnsi="Times New Roman" w:cs="Times New Roman"/>
          <w:szCs w:val="22"/>
          <w:lang w:val="fr-BE"/>
        </w:rPr>
        <w:t>  </w:t>
      </w:r>
    </w:p>
    <w:p w14:paraId="5E9ACFEC" w14:textId="51B20CB3" w:rsidR="009A0FE2" w:rsidRPr="009A0FE2" w:rsidRDefault="009A0FE2" w:rsidP="009A0FE2">
      <w:pPr>
        <w:widowControl w:val="0"/>
        <w:snapToGrid w:val="0"/>
        <w:spacing w:before="240" w:after="120" w:line="240" w:lineRule="auto"/>
        <w:ind w:firstLine="11"/>
        <w:jc w:val="both"/>
        <w:rPr>
          <w:rFonts w:cstheme="minorHAnsi"/>
          <w:szCs w:val="22"/>
          <w:lang w:val="fr-BE"/>
        </w:rPr>
      </w:pPr>
      <w:r w:rsidRPr="009A0FE2">
        <w:rPr>
          <w:rFonts w:cstheme="minorHAnsi"/>
          <w:szCs w:val="22"/>
          <w:lang w:val="fr-BE"/>
        </w:rPr>
        <w:t>Est exclu de la présente procédure, le soumissionnaire qui ne satisfait pas à ses obligations de paiement de dettes fiscales et de cotisations de sécurité sociale. Néanmoins, le soumissionnaire qui se trouve dans les conditions suivantes peut participer</w:t>
      </w:r>
      <w:r w:rsidR="0069058C">
        <w:rPr>
          <w:rFonts w:cstheme="minorHAnsi"/>
          <w:szCs w:val="22"/>
          <w:lang w:val="fr-BE"/>
        </w:rPr>
        <w:t xml:space="preserve"> </w:t>
      </w:r>
      <w:r w:rsidRPr="009A0FE2">
        <w:rPr>
          <w:rFonts w:cstheme="minorHAnsi"/>
          <w:szCs w:val="22"/>
          <w:lang w:val="fr-BE"/>
        </w:rPr>
        <w:t>:</w:t>
      </w:r>
      <w:r w:rsidRPr="009A0FE2">
        <w:rPr>
          <w:rFonts w:ascii="Times New Roman" w:hAnsi="Times New Roman" w:cs="Times New Roman"/>
          <w:szCs w:val="22"/>
          <w:lang w:val="fr-BE"/>
        </w:rPr>
        <w:t> </w:t>
      </w:r>
      <w:r w:rsidRPr="009A0FE2">
        <w:rPr>
          <w:rFonts w:cstheme="minorHAnsi"/>
          <w:szCs w:val="22"/>
          <w:lang w:val="fr-BE"/>
        </w:rPr>
        <w:t xml:space="preserve"> </w:t>
      </w:r>
    </w:p>
    <w:p w14:paraId="2B6EEA31" w14:textId="77777777" w:rsidR="009A0FE2" w:rsidRPr="009A0FE2" w:rsidRDefault="009A0FE2" w:rsidP="009A0FE2">
      <w:pPr>
        <w:widowControl w:val="0"/>
        <w:snapToGrid w:val="0"/>
        <w:spacing w:before="240" w:after="120" w:line="240" w:lineRule="auto"/>
        <w:ind w:firstLine="11"/>
        <w:jc w:val="both"/>
        <w:rPr>
          <w:rFonts w:cstheme="minorHAnsi"/>
          <w:szCs w:val="22"/>
          <w:lang w:val="fr-BE"/>
        </w:rPr>
      </w:pPr>
      <w:r w:rsidRPr="009A0FE2">
        <w:rPr>
          <w:rFonts w:cstheme="minorHAnsi"/>
          <w:szCs w:val="22"/>
          <w:lang w:val="fr-BE"/>
        </w:rPr>
        <w:t>a)</w:t>
      </w:r>
      <w:r w:rsidRPr="009A0FE2">
        <w:rPr>
          <w:rFonts w:cstheme="minorHAnsi"/>
          <w:szCs w:val="22"/>
          <w:lang w:val="fr-BE"/>
        </w:rPr>
        <w:tab/>
        <w:t>s’il ne dispose pas d’une dette supérieure à 3000 euros ou</w:t>
      </w:r>
      <w:r w:rsidRPr="009A0FE2">
        <w:rPr>
          <w:rFonts w:ascii="Times New Roman" w:hAnsi="Times New Roman" w:cs="Times New Roman"/>
          <w:szCs w:val="22"/>
          <w:lang w:val="fr-BE"/>
        </w:rPr>
        <w:t> </w:t>
      </w:r>
      <w:r w:rsidRPr="009A0FE2">
        <w:rPr>
          <w:rFonts w:cstheme="minorHAnsi"/>
          <w:szCs w:val="22"/>
          <w:lang w:val="fr-BE"/>
        </w:rPr>
        <w:t xml:space="preserve"> </w:t>
      </w:r>
    </w:p>
    <w:p w14:paraId="69C1054B" w14:textId="77777777" w:rsidR="009A0FE2" w:rsidRDefault="009A0FE2" w:rsidP="009A0FE2">
      <w:pPr>
        <w:widowControl w:val="0"/>
        <w:snapToGrid w:val="0"/>
        <w:spacing w:before="240" w:after="120" w:line="240" w:lineRule="auto"/>
        <w:ind w:firstLine="11"/>
        <w:jc w:val="both"/>
        <w:rPr>
          <w:rFonts w:cstheme="minorHAnsi"/>
          <w:szCs w:val="22"/>
          <w:lang w:val="fr-BE"/>
        </w:rPr>
      </w:pPr>
      <w:r w:rsidRPr="009A0FE2">
        <w:rPr>
          <w:rFonts w:cstheme="minorHAnsi"/>
          <w:szCs w:val="22"/>
          <w:lang w:val="fr-BE"/>
        </w:rPr>
        <w:t>b)</w:t>
      </w:r>
      <w:r w:rsidRPr="009A0FE2">
        <w:rPr>
          <w:rFonts w:cstheme="minorHAnsi"/>
          <w:szCs w:val="22"/>
          <w:lang w:val="fr-BE"/>
        </w:rPr>
        <w:tab/>
        <w:t>s’il a obtenu pour cette dette un délai de paiement qu’il respecte strictement.</w:t>
      </w:r>
      <w:r w:rsidRPr="009A0FE2">
        <w:rPr>
          <w:rFonts w:ascii="Times New Roman" w:hAnsi="Times New Roman" w:cs="Times New Roman"/>
          <w:szCs w:val="22"/>
          <w:lang w:val="fr-BE"/>
        </w:rPr>
        <w:t> </w:t>
      </w:r>
      <w:r w:rsidRPr="009A0FE2">
        <w:rPr>
          <w:rFonts w:cstheme="minorHAnsi"/>
          <w:szCs w:val="22"/>
          <w:lang w:val="fr-BE"/>
        </w:rPr>
        <w:t xml:space="preserve"> </w:t>
      </w:r>
    </w:p>
    <w:p w14:paraId="045C5779" w14:textId="77777777" w:rsidR="001F3618" w:rsidRPr="001F3618" w:rsidRDefault="001F3618" w:rsidP="001F3618">
      <w:pPr>
        <w:spacing w:line="240" w:lineRule="auto"/>
        <w:jc w:val="both"/>
        <w:rPr>
          <w:rFonts w:cstheme="minorHAnsi"/>
          <w:szCs w:val="22"/>
          <w:lang w:val="fr-BE"/>
        </w:rPr>
      </w:pPr>
      <w:bookmarkStart w:id="311" w:name="_Toc106881982"/>
      <w:bookmarkStart w:id="312" w:name="_Toc107898570"/>
      <w:bookmarkStart w:id="313" w:name="_Toc107899957"/>
      <w:bookmarkStart w:id="314" w:name="_Toc108097511"/>
      <w:bookmarkStart w:id="315" w:name="_Toc108507415"/>
      <w:bookmarkStart w:id="316" w:name="_Toc108509949"/>
      <w:bookmarkStart w:id="317" w:name="_Toc113535676"/>
      <w:bookmarkStart w:id="318" w:name="_Toc113544071"/>
      <w:r w:rsidRPr="001F3618">
        <w:rPr>
          <w:rFonts w:cstheme="minorHAnsi"/>
          <w:szCs w:val="22"/>
          <w:lang w:val="fr-BE"/>
        </w:rPr>
        <w:t>Lorsque la dette est supérieure à 3000 euros, sous peine d’exclusion, le soumissionnaire démontre qu’il détient à l’égard d’un pouvoir adjudicateur ou d’une entreprise publique, une ou des créance(s) certaine(s), exigible(s) et libre(s) de tout engagement à l’égard de tiers pour un montant au moins égal à sa dette diminuée de 3000 euros.</w:t>
      </w:r>
      <w:r w:rsidRPr="001F3618">
        <w:rPr>
          <w:rFonts w:ascii="Times New Roman" w:hAnsi="Times New Roman" w:cs="Times New Roman"/>
          <w:szCs w:val="22"/>
          <w:lang w:val="fr-BE"/>
        </w:rPr>
        <w:t> </w:t>
      </w:r>
      <w:r w:rsidRPr="001F3618">
        <w:rPr>
          <w:rFonts w:cstheme="minorHAnsi"/>
          <w:szCs w:val="22"/>
          <w:lang w:val="fr-BE"/>
        </w:rPr>
        <w:t xml:space="preserve"> </w:t>
      </w:r>
    </w:p>
    <w:p w14:paraId="73CFFD3F" w14:textId="243EFEC1" w:rsidR="001F3618" w:rsidRPr="001F3618" w:rsidRDefault="001F3618" w:rsidP="001F3618">
      <w:pPr>
        <w:spacing w:line="240" w:lineRule="auto"/>
        <w:jc w:val="both"/>
        <w:rPr>
          <w:rFonts w:cstheme="minorHAnsi"/>
          <w:szCs w:val="22"/>
          <w:lang w:val="fr-BE"/>
        </w:rPr>
      </w:pPr>
      <w:r w:rsidRPr="001F3618">
        <w:rPr>
          <w:rFonts w:cstheme="minorHAnsi"/>
          <w:szCs w:val="22"/>
          <w:lang w:val="fr-BE"/>
        </w:rPr>
        <w:t xml:space="preserve">Lorsque l’attestation en possession du pouvoir adjudicateur ne démontre pas que le soumissionnaire est en règle avec ses obligations fiscales et sociales, il en informera le soumissionnaire. À compter du lendemain de la notification de la constatation, le soumissionnaire dispose d’un délai de </w:t>
      </w:r>
      <w:r>
        <w:rPr>
          <w:rFonts w:cstheme="minorHAnsi"/>
          <w:szCs w:val="22"/>
          <w:lang w:val="fr-BE"/>
        </w:rPr>
        <w:t>cinq</w:t>
      </w:r>
      <w:r w:rsidRPr="001F3618">
        <w:rPr>
          <w:rFonts w:cstheme="minorHAnsi"/>
          <w:szCs w:val="22"/>
          <w:lang w:val="fr-BE"/>
        </w:rPr>
        <w:t xml:space="preserve"> jours ouvrables pour fournir la preuve de sa régularisation. Le recours à cette régularisation n'est possible qu'à une seule reprise.</w:t>
      </w:r>
      <w:r w:rsidRPr="001F3618">
        <w:rPr>
          <w:rFonts w:ascii="Times New Roman" w:hAnsi="Times New Roman" w:cs="Times New Roman"/>
          <w:szCs w:val="22"/>
          <w:lang w:val="fr-BE"/>
        </w:rPr>
        <w:t> </w:t>
      </w:r>
      <w:r w:rsidRPr="001F3618">
        <w:rPr>
          <w:rFonts w:cstheme="minorHAnsi"/>
          <w:szCs w:val="22"/>
          <w:lang w:val="fr-BE"/>
        </w:rPr>
        <w:t xml:space="preserve"> </w:t>
      </w:r>
    </w:p>
    <w:bookmarkEnd w:id="311"/>
    <w:bookmarkEnd w:id="312"/>
    <w:bookmarkEnd w:id="313"/>
    <w:bookmarkEnd w:id="314"/>
    <w:bookmarkEnd w:id="315"/>
    <w:bookmarkEnd w:id="316"/>
    <w:bookmarkEnd w:id="317"/>
    <w:bookmarkEnd w:id="318"/>
    <w:p w14:paraId="014192B8" w14:textId="77775886" w:rsidR="009875B8" w:rsidRPr="006E1904" w:rsidRDefault="0013083C" w:rsidP="001F3618">
      <w:pPr>
        <w:jc w:val="left"/>
        <w:rPr>
          <w:b/>
          <w:bCs/>
          <w:szCs w:val="22"/>
          <w:lang w:val="fr-BE"/>
        </w:rPr>
      </w:pPr>
      <w:r w:rsidRPr="006E1904">
        <w:rPr>
          <w:b/>
          <w:bCs/>
          <w:szCs w:val="22"/>
          <w:lang w:val="fr-BE"/>
        </w:rPr>
        <w:t>Motifs d’exclusion facultatifs</w:t>
      </w:r>
    </w:p>
    <w:p w14:paraId="4D30212E" w14:textId="7B7B4FEF" w:rsidR="00DD3969" w:rsidRPr="00DD3969" w:rsidRDefault="009875B8" w:rsidP="00DD3969">
      <w:pPr>
        <w:snapToGrid w:val="0"/>
        <w:spacing w:after="120" w:line="240" w:lineRule="auto"/>
        <w:ind w:left="426" w:hanging="426"/>
        <w:jc w:val="both"/>
        <w:rPr>
          <w:rFonts w:cs="Calibri"/>
          <w:szCs w:val="22"/>
          <w:lang w:val="fr-BE" w:eastAsia="nl-NL"/>
        </w:rPr>
      </w:pPr>
      <w:r w:rsidRPr="00DD3969">
        <w:rPr>
          <w:rFonts w:cstheme="minorHAnsi"/>
          <w:sz w:val="20"/>
          <w:szCs w:val="20"/>
          <w:lang w:val="fr-BE"/>
        </w:rPr>
        <w:t>1°</w:t>
      </w:r>
      <w:r w:rsidR="00DD3969">
        <w:rPr>
          <w:rFonts w:cs="Calibri"/>
          <w:szCs w:val="22"/>
          <w:lang w:val="fr-BE" w:eastAsia="nl-NL"/>
        </w:rPr>
        <w:t xml:space="preserve">  </w:t>
      </w:r>
      <w:r w:rsidR="00DD3969" w:rsidRPr="00DD3969">
        <w:rPr>
          <w:rFonts w:cs="Calibri"/>
          <w:szCs w:val="22"/>
          <w:lang w:val="fr-BE" w:eastAsia="nl-NL"/>
        </w:rPr>
        <w:t>lorsque le pouvoir adjudicateur peut démontrer, par tout moyen approprié, que</w:t>
      </w:r>
      <w:r w:rsidR="00DD3969" w:rsidRPr="00DD3969">
        <w:rPr>
          <w:rFonts w:ascii="Times New Roman" w:hAnsi="Times New Roman" w:cs="Times New Roman"/>
          <w:szCs w:val="22"/>
          <w:lang w:val="fr-BE" w:eastAsia="nl-NL"/>
        </w:rPr>
        <w:t> </w:t>
      </w:r>
      <w:r w:rsidR="00DD3969" w:rsidRPr="00DD3969">
        <w:rPr>
          <w:rFonts w:cs="Calibri"/>
          <w:szCs w:val="22"/>
          <w:lang w:val="fr-BE" w:eastAsia="nl-NL"/>
        </w:rPr>
        <w:t xml:space="preserve"> le soumissionnaire a manqu</w:t>
      </w:r>
      <w:r w:rsidR="00DD3969" w:rsidRPr="00DD3969">
        <w:rPr>
          <w:rFonts w:cs="Roboto"/>
          <w:szCs w:val="22"/>
          <w:lang w:val="fr-BE" w:eastAsia="nl-NL"/>
        </w:rPr>
        <w:t>é</w:t>
      </w:r>
      <w:r w:rsidR="00DD3969" w:rsidRPr="00DD3969">
        <w:rPr>
          <w:rFonts w:cs="Calibri"/>
          <w:szCs w:val="22"/>
          <w:lang w:val="fr-BE" w:eastAsia="nl-NL"/>
        </w:rPr>
        <w:t xml:space="preserve"> aux obligations applicables dans les domaines du droit environnemental, social et du travail</w:t>
      </w:r>
      <w:r w:rsidR="00DD3969" w:rsidRPr="00DD3969">
        <w:rPr>
          <w:rFonts w:ascii="Times New Roman" w:hAnsi="Times New Roman" w:cs="Times New Roman"/>
          <w:szCs w:val="22"/>
          <w:lang w:val="fr-BE" w:eastAsia="nl-NL"/>
        </w:rPr>
        <w:t> </w:t>
      </w:r>
      <w:r w:rsidR="00DD3969" w:rsidRPr="00DD3969">
        <w:rPr>
          <w:rFonts w:cs="Calibri"/>
          <w:szCs w:val="22"/>
          <w:lang w:val="fr-BE" w:eastAsia="nl-NL"/>
        </w:rPr>
        <w:t>;</w:t>
      </w:r>
      <w:r w:rsidR="00DD3969" w:rsidRPr="00142F56">
        <w:rPr>
          <w:rFonts w:ascii="Times New Roman" w:hAnsi="Times New Roman" w:cs="Times New Roman"/>
          <w:szCs w:val="22"/>
          <w:lang w:val="fr-BE" w:eastAsia="nl-NL"/>
        </w:rPr>
        <w:t> </w:t>
      </w:r>
      <w:r w:rsidR="00DD3969" w:rsidRPr="00142F56">
        <w:rPr>
          <w:rFonts w:cs="Calibri"/>
          <w:szCs w:val="22"/>
          <w:lang w:val="fr-BE" w:eastAsia="nl-NL"/>
        </w:rPr>
        <w:t> </w:t>
      </w:r>
    </w:p>
    <w:p w14:paraId="4A75AD9D" w14:textId="77777777" w:rsidR="00DD3969" w:rsidRPr="00142F56" w:rsidRDefault="00DD3969" w:rsidP="00DD3969">
      <w:pPr>
        <w:snapToGrid w:val="0"/>
        <w:spacing w:after="120" w:line="240" w:lineRule="auto"/>
        <w:ind w:left="426" w:hanging="426"/>
        <w:jc w:val="both"/>
        <w:rPr>
          <w:rFonts w:cs="Calibri"/>
          <w:szCs w:val="22"/>
          <w:lang w:val="fr-BE" w:eastAsia="nl-NL"/>
        </w:rPr>
      </w:pPr>
      <w:r w:rsidRPr="00DD3969">
        <w:rPr>
          <w:rFonts w:cs="Calibri"/>
          <w:szCs w:val="22"/>
          <w:lang w:val="fr-BE" w:eastAsia="nl-NL"/>
        </w:rPr>
        <w:t>2°</w:t>
      </w:r>
      <w:r w:rsidRPr="006A3299">
        <w:rPr>
          <w:rFonts w:cs="Calibri"/>
          <w:szCs w:val="22"/>
          <w:lang w:val="fr-BE" w:eastAsia="nl-NL"/>
        </w:rPr>
        <w:tab/>
      </w:r>
      <w:r w:rsidRPr="00DD3969">
        <w:rPr>
          <w:rFonts w:cs="Calibri"/>
          <w:szCs w:val="22"/>
          <w:lang w:val="fr-BE" w:eastAsia="nl-NL"/>
        </w:rPr>
        <w:t>lorsque le soumissionnaire est en état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w:t>
      </w:r>
      <w:r w:rsidRPr="00DD3969">
        <w:rPr>
          <w:rFonts w:ascii="Times New Roman" w:hAnsi="Times New Roman" w:cs="Times New Roman"/>
          <w:szCs w:val="22"/>
          <w:lang w:val="fr-BE" w:eastAsia="nl-NL"/>
        </w:rPr>
        <w:t> </w:t>
      </w:r>
      <w:r w:rsidRPr="00DD3969">
        <w:rPr>
          <w:rFonts w:cs="Calibri"/>
          <w:szCs w:val="22"/>
          <w:lang w:val="fr-BE" w:eastAsia="nl-NL"/>
        </w:rPr>
        <w:t>;</w:t>
      </w:r>
      <w:r w:rsidRPr="00142F56">
        <w:rPr>
          <w:rFonts w:ascii="Times New Roman" w:hAnsi="Times New Roman" w:cs="Times New Roman"/>
          <w:szCs w:val="22"/>
          <w:lang w:val="fr-BE" w:eastAsia="nl-NL"/>
        </w:rPr>
        <w:t> </w:t>
      </w:r>
      <w:r w:rsidRPr="00142F56">
        <w:rPr>
          <w:rFonts w:cs="Calibri"/>
          <w:szCs w:val="22"/>
          <w:lang w:val="fr-BE" w:eastAsia="nl-NL"/>
        </w:rPr>
        <w:t> </w:t>
      </w:r>
    </w:p>
    <w:p w14:paraId="1F9239F4" w14:textId="77777777" w:rsidR="00DD3969" w:rsidRPr="00142F56" w:rsidRDefault="00DD3969" w:rsidP="00DD3969">
      <w:pPr>
        <w:snapToGrid w:val="0"/>
        <w:spacing w:after="120" w:line="240" w:lineRule="auto"/>
        <w:ind w:left="426" w:hanging="426"/>
        <w:jc w:val="both"/>
        <w:rPr>
          <w:rFonts w:cs="Calibri"/>
          <w:szCs w:val="22"/>
          <w:lang w:val="fr-BE" w:eastAsia="nl-NL"/>
        </w:rPr>
      </w:pPr>
      <w:r w:rsidRPr="00DD3969">
        <w:rPr>
          <w:rFonts w:cs="Calibri"/>
          <w:szCs w:val="22"/>
          <w:lang w:val="fr-BE" w:eastAsia="nl-NL"/>
        </w:rPr>
        <w:t xml:space="preserve">3° </w:t>
      </w:r>
      <w:r w:rsidRPr="006A3299">
        <w:rPr>
          <w:rFonts w:cs="Calibri"/>
          <w:szCs w:val="22"/>
          <w:lang w:val="fr-BE" w:eastAsia="nl-NL"/>
        </w:rPr>
        <w:tab/>
      </w:r>
      <w:r w:rsidRPr="00DD3969">
        <w:rPr>
          <w:rFonts w:cs="Calibri"/>
          <w:szCs w:val="22"/>
          <w:lang w:val="fr-BE" w:eastAsia="nl-NL"/>
        </w:rPr>
        <w:t>lorsque le pouvoir adjudicateur peut démontrer par tout moyen approprié que le soumissionnaire a commis une faute professionnelle grave qui remet en cause son intégrité</w:t>
      </w:r>
      <w:r w:rsidRPr="00DD3969">
        <w:rPr>
          <w:rFonts w:ascii="Times New Roman" w:hAnsi="Times New Roman" w:cs="Times New Roman"/>
          <w:szCs w:val="22"/>
          <w:lang w:val="fr-BE" w:eastAsia="nl-NL"/>
        </w:rPr>
        <w:t> </w:t>
      </w:r>
      <w:r w:rsidRPr="00DD3969">
        <w:rPr>
          <w:rFonts w:cs="Calibri"/>
          <w:szCs w:val="22"/>
          <w:lang w:val="fr-BE" w:eastAsia="nl-NL"/>
        </w:rPr>
        <w:t>;</w:t>
      </w:r>
      <w:r w:rsidRPr="00142F56">
        <w:rPr>
          <w:rFonts w:ascii="Times New Roman" w:hAnsi="Times New Roman" w:cs="Times New Roman"/>
          <w:szCs w:val="22"/>
          <w:lang w:val="fr-BE" w:eastAsia="nl-NL"/>
        </w:rPr>
        <w:t> </w:t>
      </w:r>
      <w:r w:rsidRPr="00142F56">
        <w:rPr>
          <w:rFonts w:cs="Calibri"/>
          <w:szCs w:val="22"/>
          <w:lang w:val="fr-BE" w:eastAsia="nl-NL"/>
        </w:rPr>
        <w:t> </w:t>
      </w:r>
    </w:p>
    <w:p w14:paraId="47C5F7EB" w14:textId="77777777" w:rsidR="00DD3969" w:rsidRPr="00142F56" w:rsidRDefault="00DD3969" w:rsidP="00DD3969">
      <w:pPr>
        <w:snapToGrid w:val="0"/>
        <w:spacing w:after="120" w:line="240" w:lineRule="auto"/>
        <w:ind w:left="426" w:hanging="426"/>
        <w:jc w:val="both"/>
        <w:rPr>
          <w:rFonts w:cs="Calibri"/>
          <w:szCs w:val="22"/>
          <w:lang w:val="fr-BE" w:eastAsia="nl-NL"/>
        </w:rPr>
      </w:pPr>
      <w:r w:rsidRPr="00DD3969">
        <w:rPr>
          <w:rFonts w:cs="Calibri"/>
          <w:szCs w:val="22"/>
          <w:lang w:val="fr-BE" w:eastAsia="nl-NL"/>
        </w:rPr>
        <w:lastRenderedPageBreak/>
        <w:t xml:space="preserve">4° </w:t>
      </w:r>
      <w:r w:rsidRPr="006A3299">
        <w:rPr>
          <w:rFonts w:cs="Calibri"/>
          <w:szCs w:val="22"/>
          <w:lang w:val="fr-BE" w:eastAsia="nl-NL"/>
        </w:rPr>
        <w:tab/>
      </w:r>
      <w:r w:rsidRPr="00DD3969">
        <w:rPr>
          <w:rFonts w:cs="Calibri"/>
          <w:szCs w:val="22"/>
          <w:lang w:val="fr-BE" w:eastAsia="nl-NL"/>
        </w:rPr>
        <w:t>lorsque le pouvoir adjudicateur dispose d’éléments suffisamment plausibles pour conclure que le soumissionnaire a commis des actes, conclu des conventions ou procédé à des ententes en vue de fausser la concurrence</w:t>
      </w:r>
      <w:r w:rsidRPr="00DD3969">
        <w:rPr>
          <w:rFonts w:ascii="Times New Roman" w:hAnsi="Times New Roman" w:cs="Times New Roman"/>
          <w:szCs w:val="22"/>
          <w:lang w:val="fr-BE" w:eastAsia="nl-NL"/>
        </w:rPr>
        <w:t> </w:t>
      </w:r>
      <w:r w:rsidRPr="00DD3969">
        <w:rPr>
          <w:rFonts w:cs="Calibri"/>
          <w:szCs w:val="22"/>
          <w:lang w:val="fr-BE" w:eastAsia="nl-NL"/>
        </w:rPr>
        <w:t>;</w:t>
      </w:r>
      <w:r w:rsidRPr="00142F56">
        <w:rPr>
          <w:rFonts w:ascii="Times New Roman" w:hAnsi="Times New Roman" w:cs="Times New Roman"/>
          <w:szCs w:val="22"/>
          <w:lang w:val="fr-BE" w:eastAsia="nl-NL"/>
        </w:rPr>
        <w:t> </w:t>
      </w:r>
      <w:r w:rsidRPr="00142F56">
        <w:rPr>
          <w:rFonts w:cs="Calibri"/>
          <w:szCs w:val="22"/>
          <w:lang w:val="fr-BE" w:eastAsia="nl-NL"/>
        </w:rPr>
        <w:t> </w:t>
      </w:r>
    </w:p>
    <w:p w14:paraId="10C4C7A5" w14:textId="77777777" w:rsidR="00DD3969" w:rsidRPr="00142F56" w:rsidRDefault="00DD3969" w:rsidP="00DD3969">
      <w:pPr>
        <w:snapToGrid w:val="0"/>
        <w:spacing w:after="120" w:line="240" w:lineRule="auto"/>
        <w:ind w:left="426" w:hanging="426"/>
        <w:jc w:val="both"/>
        <w:rPr>
          <w:rFonts w:cs="Calibri"/>
          <w:szCs w:val="22"/>
          <w:lang w:val="fr-BE" w:eastAsia="nl-NL"/>
        </w:rPr>
      </w:pPr>
      <w:r w:rsidRPr="00DD3969">
        <w:rPr>
          <w:rFonts w:cs="Calibri"/>
          <w:szCs w:val="22"/>
          <w:lang w:val="fr-BE" w:eastAsia="nl-NL"/>
        </w:rPr>
        <w:t xml:space="preserve">5° </w:t>
      </w:r>
      <w:r w:rsidRPr="00142F56">
        <w:rPr>
          <w:rFonts w:cs="Calibri"/>
          <w:szCs w:val="22"/>
          <w:lang w:val="fr-BE" w:eastAsia="nl-NL"/>
        </w:rPr>
        <w:tab/>
      </w:r>
      <w:r w:rsidRPr="00DD3969">
        <w:rPr>
          <w:rFonts w:cs="Calibri"/>
          <w:szCs w:val="22"/>
          <w:lang w:val="fr-BE" w:eastAsia="nl-NL"/>
        </w:rPr>
        <w:t>lorsqu’il ne peut être remédié à un conflit d’intérêts au sens de l’article 6 de la loi par d’autres mesures moins intrusives</w:t>
      </w:r>
      <w:r w:rsidRPr="00DD3969">
        <w:rPr>
          <w:rFonts w:ascii="Times New Roman" w:hAnsi="Times New Roman" w:cs="Times New Roman"/>
          <w:szCs w:val="22"/>
          <w:lang w:val="fr-BE" w:eastAsia="nl-NL"/>
        </w:rPr>
        <w:t> </w:t>
      </w:r>
      <w:r w:rsidRPr="00DD3969">
        <w:rPr>
          <w:rFonts w:cs="Calibri"/>
          <w:szCs w:val="22"/>
          <w:lang w:val="fr-BE" w:eastAsia="nl-NL"/>
        </w:rPr>
        <w:t>;</w:t>
      </w:r>
      <w:r w:rsidRPr="00142F56">
        <w:rPr>
          <w:rFonts w:ascii="Times New Roman" w:hAnsi="Times New Roman" w:cs="Times New Roman"/>
          <w:szCs w:val="22"/>
          <w:lang w:val="fr-BE" w:eastAsia="nl-NL"/>
        </w:rPr>
        <w:t> </w:t>
      </w:r>
      <w:r w:rsidRPr="00142F56">
        <w:rPr>
          <w:rFonts w:cs="Calibri"/>
          <w:szCs w:val="22"/>
          <w:lang w:val="fr-BE" w:eastAsia="nl-NL"/>
        </w:rPr>
        <w:t> </w:t>
      </w:r>
    </w:p>
    <w:p w14:paraId="682BAD2D" w14:textId="77777777" w:rsidR="00DD3969" w:rsidRPr="00142F56" w:rsidRDefault="00DD3969" w:rsidP="00DD3969">
      <w:pPr>
        <w:snapToGrid w:val="0"/>
        <w:spacing w:after="120" w:line="240" w:lineRule="auto"/>
        <w:ind w:left="426" w:hanging="426"/>
        <w:jc w:val="both"/>
        <w:rPr>
          <w:rFonts w:cs="Calibri"/>
          <w:szCs w:val="22"/>
          <w:lang w:val="fr-BE" w:eastAsia="nl-NL"/>
        </w:rPr>
      </w:pPr>
      <w:r w:rsidRPr="00DD3969">
        <w:rPr>
          <w:rFonts w:cs="Calibri"/>
          <w:szCs w:val="22"/>
          <w:lang w:val="fr-BE" w:eastAsia="nl-NL"/>
        </w:rPr>
        <w:t>6°</w:t>
      </w:r>
      <w:r w:rsidRPr="00142F56">
        <w:rPr>
          <w:rFonts w:cs="Calibri"/>
          <w:szCs w:val="22"/>
          <w:lang w:val="fr-BE" w:eastAsia="nl-NL"/>
        </w:rPr>
        <w:tab/>
      </w:r>
      <w:r w:rsidRPr="00DD3969">
        <w:rPr>
          <w:rFonts w:cs="Calibri"/>
          <w:szCs w:val="22"/>
          <w:lang w:val="fr-BE" w:eastAsia="nl-NL"/>
        </w:rPr>
        <w:t>lorsqu’il ne peut être remédié à une distorsion de la concurrence résultant de la participation préalable des candidats ou soumissionnaires à la préparation de la procédure de passation, visée à l’article 52 de la loi, par d’autres mesures moins intrusives</w:t>
      </w:r>
      <w:r w:rsidRPr="00DD3969">
        <w:rPr>
          <w:rFonts w:ascii="Times New Roman" w:hAnsi="Times New Roman" w:cs="Times New Roman"/>
          <w:szCs w:val="22"/>
          <w:lang w:val="fr-BE" w:eastAsia="nl-NL"/>
        </w:rPr>
        <w:t> </w:t>
      </w:r>
      <w:r w:rsidRPr="00DD3969">
        <w:rPr>
          <w:rFonts w:cs="Calibri"/>
          <w:szCs w:val="22"/>
          <w:lang w:val="fr-BE" w:eastAsia="nl-NL"/>
        </w:rPr>
        <w:t>;</w:t>
      </w:r>
      <w:r w:rsidRPr="00142F56">
        <w:rPr>
          <w:rFonts w:ascii="Times New Roman" w:hAnsi="Times New Roman" w:cs="Times New Roman"/>
          <w:szCs w:val="22"/>
          <w:lang w:val="fr-BE" w:eastAsia="nl-NL"/>
        </w:rPr>
        <w:t> </w:t>
      </w:r>
      <w:r w:rsidRPr="00142F56">
        <w:rPr>
          <w:rFonts w:cs="Calibri"/>
          <w:szCs w:val="22"/>
          <w:lang w:val="fr-BE" w:eastAsia="nl-NL"/>
        </w:rPr>
        <w:t> </w:t>
      </w:r>
    </w:p>
    <w:p w14:paraId="6E9F85F0" w14:textId="77777777" w:rsidR="00DD3969" w:rsidRPr="00142F56" w:rsidRDefault="00DD3969" w:rsidP="00DD3969">
      <w:pPr>
        <w:snapToGrid w:val="0"/>
        <w:spacing w:after="120" w:line="240" w:lineRule="auto"/>
        <w:ind w:left="426" w:hanging="426"/>
        <w:jc w:val="both"/>
        <w:rPr>
          <w:rFonts w:cs="Calibri"/>
          <w:szCs w:val="22"/>
          <w:lang w:val="fr-BE" w:eastAsia="nl-NL"/>
        </w:rPr>
      </w:pPr>
      <w:r w:rsidRPr="00DD3969">
        <w:rPr>
          <w:rFonts w:cs="Calibri"/>
          <w:szCs w:val="22"/>
          <w:lang w:val="fr-BE" w:eastAsia="nl-NL"/>
        </w:rPr>
        <w:t>7°</w:t>
      </w:r>
      <w:r w:rsidRPr="00142F56">
        <w:rPr>
          <w:rFonts w:cs="Calibri"/>
          <w:szCs w:val="22"/>
          <w:lang w:val="fr-BE" w:eastAsia="nl-NL"/>
        </w:rPr>
        <w:tab/>
      </w:r>
      <w:r w:rsidRPr="00DD3969">
        <w:rPr>
          <w:rFonts w:cs="Calibri"/>
          <w:szCs w:val="22"/>
          <w:lang w:val="fr-BE" w:eastAsia="nl-NL"/>
        </w:rPr>
        <w:t>lorsque des défaillances importantes ou persistantes du candidat ou du soumissionnaire ont été constatées lors de l’exécution d’une obligation essentielle qui lui incombait dans le cadre d’un marché public antérieur, d’un marché antérieur passé avec un pouvoir adjudicateur ou d’un contrat de concession antérieur, lorsque ces défaillances ont donné lieu à des mesures d’office, des dommages et intérêts ou à une autre sanction comparable</w:t>
      </w:r>
      <w:r w:rsidRPr="00DD3969">
        <w:rPr>
          <w:rFonts w:ascii="Times New Roman" w:hAnsi="Times New Roman" w:cs="Times New Roman"/>
          <w:szCs w:val="22"/>
          <w:lang w:val="fr-BE" w:eastAsia="nl-NL"/>
        </w:rPr>
        <w:t> </w:t>
      </w:r>
      <w:r w:rsidRPr="00DD3969">
        <w:rPr>
          <w:rFonts w:cs="Calibri"/>
          <w:szCs w:val="22"/>
          <w:lang w:val="fr-BE" w:eastAsia="nl-NL"/>
        </w:rPr>
        <w:t>;</w:t>
      </w:r>
      <w:r w:rsidRPr="00142F56">
        <w:rPr>
          <w:rFonts w:ascii="Times New Roman" w:hAnsi="Times New Roman" w:cs="Times New Roman"/>
          <w:szCs w:val="22"/>
          <w:lang w:val="fr-BE" w:eastAsia="nl-NL"/>
        </w:rPr>
        <w:t> </w:t>
      </w:r>
      <w:r w:rsidRPr="00142F56">
        <w:rPr>
          <w:rFonts w:cs="Calibri"/>
          <w:szCs w:val="22"/>
          <w:lang w:val="fr-BE" w:eastAsia="nl-NL"/>
        </w:rPr>
        <w:t> </w:t>
      </w:r>
    </w:p>
    <w:p w14:paraId="78E24C48" w14:textId="77777777" w:rsidR="00DD3969" w:rsidRPr="00142F56" w:rsidRDefault="00DD3969" w:rsidP="00DD3969">
      <w:pPr>
        <w:snapToGrid w:val="0"/>
        <w:spacing w:after="120" w:line="240" w:lineRule="auto"/>
        <w:ind w:left="426" w:hanging="426"/>
        <w:jc w:val="both"/>
        <w:rPr>
          <w:rFonts w:cs="Calibri"/>
          <w:szCs w:val="22"/>
          <w:lang w:val="fr-BE" w:eastAsia="nl-NL"/>
        </w:rPr>
      </w:pPr>
      <w:r w:rsidRPr="00DD3969">
        <w:rPr>
          <w:rFonts w:cs="Calibri"/>
          <w:szCs w:val="22"/>
          <w:lang w:val="fr-BE" w:eastAsia="nl-NL"/>
        </w:rPr>
        <w:t>8°</w:t>
      </w:r>
      <w:r w:rsidRPr="00142F56">
        <w:rPr>
          <w:rFonts w:cs="Calibri"/>
          <w:szCs w:val="22"/>
          <w:lang w:val="fr-BE" w:eastAsia="nl-NL"/>
        </w:rPr>
        <w:tab/>
      </w:r>
      <w:r w:rsidRPr="00DD3969">
        <w:rPr>
          <w:rFonts w:cs="Calibri"/>
          <w:szCs w:val="22"/>
          <w:lang w:val="fr-BE" w:eastAsia="nl-NL"/>
        </w:rPr>
        <w:t>le soumissionnaire s’est rendu gravement coupable de fausse déclaration en fournissant les renseignements exigés pour la vérification de l’absence de motifs d’exclusion ou la satisfaction des critères de sélection, a caché ces informations ou n’est pas en mesure de présenter les documents justificatifs requis en vertu de l’article 73 de la loi</w:t>
      </w:r>
      <w:r w:rsidRPr="00DD3969">
        <w:rPr>
          <w:rFonts w:ascii="Times New Roman" w:hAnsi="Times New Roman" w:cs="Times New Roman"/>
          <w:szCs w:val="22"/>
          <w:lang w:val="fr-BE" w:eastAsia="nl-NL"/>
        </w:rPr>
        <w:t> </w:t>
      </w:r>
      <w:r w:rsidRPr="00DD3969">
        <w:rPr>
          <w:rFonts w:cs="Calibri"/>
          <w:szCs w:val="22"/>
          <w:lang w:val="fr-BE" w:eastAsia="nl-NL"/>
        </w:rPr>
        <w:t>;</w:t>
      </w:r>
      <w:r w:rsidRPr="00142F56">
        <w:rPr>
          <w:rFonts w:ascii="Times New Roman" w:hAnsi="Times New Roman" w:cs="Times New Roman"/>
          <w:szCs w:val="22"/>
          <w:lang w:val="fr-BE" w:eastAsia="nl-NL"/>
        </w:rPr>
        <w:t> </w:t>
      </w:r>
      <w:r w:rsidRPr="00142F56">
        <w:rPr>
          <w:rFonts w:cs="Calibri"/>
          <w:szCs w:val="22"/>
          <w:lang w:val="fr-BE" w:eastAsia="nl-NL"/>
        </w:rPr>
        <w:t> </w:t>
      </w:r>
    </w:p>
    <w:p w14:paraId="1C956F5A" w14:textId="77777777" w:rsidR="00DD3969" w:rsidRPr="00142F56" w:rsidRDefault="00DD3969" w:rsidP="00DD3969">
      <w:pPr>
        <w:snapToGrid w:val="0"/>
        <w:spacing w:after="120" w:line="240" w:lineRule="auto"/>
        <w:ind w:left="426" w:hanging="426"/>
        <w:jc w:val="both"/>
        <w:rPr>
          <w:rFonts w:cs="Calibri"/>
          <w:szCs w:val="22"/>
          <w:lang w:val="fr-BE" w:eastAsia="nl-NL"/>
        </w:rPr>
      </w:pPr>
      <w:r w:rsidRPr="00DD3969">
        <w:rPr>
          <w:rFonts w:cs="Calibri"/>
          <w:szCs w:val="22"/>
          <w:lang w:val="fr-BE" w:eastAsia="nl-NL"/>
        </w:rPr>
        <w:t>9°</w:t>
      </w:r>
      <w:r w:rsidRPr="00142F56">
        <w:rPr>
          <w:rFonts w:cs="Calibri"/>
          <w:szCs w:val="22"/>
          <w:lang w:val="fr-BE" w:eastAsia="nl-NL"/>
        </w:rPr>
        <w:tab/>
      </w:r>
      <w:r w:rsidRPr="00DD3969">
        <w:rPr>
          <w:rFonts w:cs="Calibri"/>
          <w:szCs w:val="22"/>
          <w:lang w:val="fr-BE" w:eastAsia="nl-NL"/>
        </w:rPr>
        <w:t>le soumissionnaire a entrepris d’influer indûment sur le processus décisionnel du pouvoir adjudicateur ou d’obtenir des informations confidentielles susceptibles de lui donner un avantage indu lors de la procédure de passation ou a fourni par négligence des informations trompeuses susceptibles d’avoir une influence déterminante sur les décisions d’exclusion, de sélection ou d’attribution.</w:t>
      </w:r>
      <w:r w:rsidRPr="00142F56">
        <w:rPr>
          <w:rFonts w:ascii="Times New Roman" w:hAnsi="Times New Roman" w:cs="Times New Roman"/>
          <w:szCs w:val="22"/>
          <w:lang w:val="fr-BE" w:eastAsia="nl-NL"/>
        </w:rPr>
        <w:t> </w:t>
      </w:r>
      <w:r w:rsidRPr="00142F56">
        <w:rPr>
          <w:rFonts w:cs="Calibri"/>
          <w:szCs w:val="22"/>
          <w:lang w:val="fr-BE" w:eastAsia="nl-NL"/>
        </w:rPr>
        <w:t> </w:t>
      </w:r>
    </w:p>
    <w:p w14:paraId="3496896B" w14:textId="5AF1A47B" w:rsidR="008062AB" w:rsidRPr="008062AB" w:rsidRDefault="008062AB" w:rsidP="0013083C">
      <w:pPr>
        <w:pStyle w:val="Vade-mecumtitre3"/>
      </w:pPr>
      <w:bookmarkStart w:id="319" w:name="_Toc113544457"/>
      <w:bookmarkStart w:id="320" w:name="_Toc114066759"/>
      <w:bookmarkStart w:id="321" w:name="_Toc116387751"/>
      <w:bookmarkStart w:id="322" w:name="_Toc117603213"/>
      <w:r w:rsidRPr="008062AB">
        <w:t>A11.1.2</w:t>
      </w:r>
      <w:r>
        <w:t xml:space="preserve"> </w:t>
      </w:r>
      <w:bookmarkEnd w:id="319"/>
      <w:bookmarkEnd w:id="320"/>
      <w:r w:rsidR="0013083C" w:rsidRPr="0013083C">
        <w:t>La sélection qualitative</w:t>
      </w:r>
      <w:r w:rsidR="0013083C" w:rsidRPr="0013083C">
        <w:rPr>
          <w:rFonts w:ascii="Times New Roman" w:hAnsi="Times New Roman" w:cs="Times New Roman"/>
        </w:rPr>
        <w:t> </w:t>
      </w:r>
      <w:bookmarkEnd w:id="321"/>
      <w:bookmarkEnd w:id="322"/>
    </w:p>
    <w:p w14:paraId="0E2298E1" w14:textId="1AC28728" w:rsidR="008062AB" w:rsidRPr="007C51A1" w:rsidRDefault="007C51A1" w:rsidP="008062AB">
      <w:pPr>
        <w:widowControl w:val="0"/>
        <w:snapToGrid w:val="0"/>
        <w:spacing w:after="120" w:line="240" w:lineRule="auto"/>
        <w:ind w:firstLine="11"/>
        <w:jc w:val="both"/>
        <w:rPr>
          <w:rFonts w:eastAsia="Times New Roman" w:cs="Calibri"/>
          <w:szCs w:val="22"/>
          <w:lang w:val="fr-BE"/>
        </w:rPr>
      </w:pPr>
      <w:r w:rsidRPr="007C51A1">
        <w:rPr>
          <w:rFonts w:eastAsia="Times New Roman" w:cs="Calibri"/>
          <w:szCs w:val="22"/>
          <w:lang w:val="fr-BE"/>
        </w:rPr>
        <w:t>Lorsque le soumissionnaire fait appel à la capacité d’autres entités et que cette capacité est déterminante pour sa sélection, il mentionne obligatoirement pour quelle part du marché il fait appel à cette capacité ainsi que l’engagement du ou des tiers à lui mettre à disposition les moyens visés aux critères concernés.</w:t>
      </w:r>
      <w:r w:rsidRPr="007C51A1">
        <w:rPr>
          <w:rFonts w:ascii="Times New Roman" w:eastAsia="Times New Roman" w:hAnsi="Times New Roman" w:cs="Times New Roman"/>
          <w:szCs w:val="22"/>
          <w:lang w:val="fr-BE"/>
        </w:rPr>
        <w:t>   </w:t>
      </w:r>
    </w:p>
    <w:p w14:paraId="604F9C65" w14:textId="18DDC6AA" w:rsidR="008062AB" w:rsidRPr="007C51A1" w:rsidRDefault="007C51A1" w:rsidP="008062AB">
      <w:pPr>
        <w:widowControl w:val="0"/>
        <w:snapToGrid w:val="0"/>
        <w:spacing w:after="120" w:line="240" w:lineRule="auto"/>
        <w:ind w:firstLine="11"/>
        <w:jc w:val="both"/>
        <w:rPr>
          <w:rFonts w:eastAsia="Times New Roman" w:cs="Calibri"/>
          <w:szCs w:val="22"/>
          <w:lang w:val="fr-BE"/>
        </w:rPr>
      </w:pPr>
      <w:r w:rsidRPr="007C51A1">
        <w:rPr>
          <w:rFonts w:eastAsia="Times New Roman" w:cs="Calibri"/>
          <w:szCs w:val="22"/>
          <w:lang w:val="fr-BE"/>
        </w:rPr>
        <w:t>Lorsque le soumissionnaire a l’intention de sous-traiter, il doit préciser la part du marché qui est concernée ainsi que les données relatives aux sous-traitants proposés.</w:t>
      </w:r>
    </w:p>
    <w:p w14:paraId="692FB26B" w14:textId="6ED21EED" w:rsidR="008062AB" w:rsidRPr="004C32B6" w:rsidRDefault="004C32B6" w:rsidP="004C32B6">
      <w:pPr>
        <w:pStyle w:val="Vade-mecumtitre3"/>
        <w:rPr>
          <w:sz w:val="22"/>
          <w:szCs w:val="22"/>
        </w:rPr>
      </w:pPr>
      <w:bookmarkStart w:id="323" w:name="_Toc117603214"/>
      <w:bookmarkStart w:id="324" w:name="_Hlk113537315"/>
      <w:r w:rsidRPr="004C32B6">
        <w:rPr>
          <w:sz w:val="22"/>
          <w:szCs w:val="22"/>
        </w:rPr>
        <w:t xml:space="preserve">A11.1.2.1 </w:t>
      </w:r>
      <w:r w:rsidR="00CF0E71" w:rsidRPr="004C32B6">
        <w:rPr>
          <w:sz w:val="22"/>
          <w:szCs w:val="22"/>
        </w:rPr>
        <w:t>Critères de sélection relatifs aux moyens financiers du soumissionnaire</w:t>
      </w:r>
      <w:r w:rsidR="00CF0E71" w:rsidRPr="004C32B6">
        <w:rPr>
          <w:rFonts w:ascii="Times New Roman" w:hAnsi="Times New Roman" w:cs="Times New Roman"/>
          <w:sz w:val="22"/>
          <w:szCs w:val="22"/>
        </w:rPr>
        <w:t> </w:t>
      </w:r>
      <w:bookmarkEnd w:id="323"/>
    </w:p>
    <w:bookmarkEnd w:id="324"/>
    <w:p w14:paraId="1FF666FE" w14:textId="3FB7577A" w:rsidR="008704BE" w:rsidRPr="00AD7B17" w:rsidRDefault="005211D3" w:rsidP="008062AB">
      <w:pPr>
        <w:widowControl w:val="0"/>
        <w:snapToGrid w:val="0"/>
        <w:spacing w:after="120" w:line="240" w:lineRule="auto"/>
        <w:ind w:firstLine="11"/>
        <w:jc w:val="both"/>
        <w:rPr>
          <w:rStyle w:val="eop"/>
          <w:szCs w:val="22"/>
          <w:shd w:val="clear" w:color="auto" w:fill="FFFFFF"/>
          <w:lang w:val="fr-BE"/>
        </w:rPr>
      </w:pPr>
      <w:r w:rsidRPr="00A53D39">
        <w:rPr>
          <w:rStyle w:val="normaltextrun"/>
          <w:color w:val="000000"/>
          <w:szCs w:val="22"/>
          <w:shd w:val="clear" w:color="auto" w:fill="FFFFFF"/>
          <w:lang w:val="fr-BE"/>
        </w:rPr>
        <w:t xml:space="preserve">Le soumissionnaire doit avoir réalisé au cours d’un des trois derniers exercices un chiffre d’affaires total dans les évaluations de la coopération au développement au moins égal à </w:t>
      </w:r>
      <w:r w:rsidRPr="00A53D39">
        <w:rPr>
          <w:rStyle w:val="normaltextrun"/>
          <w:b/>
          <w:bCs/>
          <w:color w:val="000000"/>
          <w:szCs w:val="22"/>
          <w:shd w:val="clear" w:color="auto" w:fill="FFFFFF"/>
          <w:lang w:val="fr-BE"/>
        </w:rPr>
        <w:t>120.000 EURO</w:t>
      </w:r>
      <w:r w:rsidRPr="00A53D39">
        <w:rPr>
          <w:rStyle w:val="normaltextrun"/>
          <w:color w:val="000000"/>
          <w:szCs w:val="22"/>
          <w:shd w:val="clear" w:color="auto" w:fill="FFFFFF"/>
          <w:lang w:val="fr-BE"/>
        </w:rPr>
        <w:t>. Il joindra</w:t>
      </w:r>
      <w:r w:rsidRPr="005211D3">
        <w:rPr>
          <w:rStyle w:val="normaltextrun"/>
          <w:color w:val="000000"/>
          <w:szCs w:val="22"/>
          <w:shd w:val="clear" w:color="auto" w:fill="FFFFFF"/>
          <w:lang w:val="fr-BE"/>
        </w:rPr>
        <w:t xml:space="preserve"> à son offre une déclaration relative au chiffre d’affaires total réalisé pendant les trois derniers exercices, à moins que le chiffre d’affaires total soit mentionné dans les comptes annuels approuvés qui peuvent être consultés via le guichet électronique</w:t>
      </w:r>
      <w:r w:rsidR="004C32B6">
        <w:rPr>
          <w:rStyle w:val="normaltextrun"/>
          <w:szCs w:val="22"/>
          <w:shd w:val="clear" w:color="auto" w:fill="FFFFFF"/>
          <w:lang w:val="fr-BE"/>
        </w:rPr>
        <w:t>.</w:t>
      </w:r>
      <w:r w:rsidR="004C32B6" w:rsidRPr="00AD7B17">
        <w:rPr>
          <w:rStyle w:val="eop"/>
          <w:szCs w:val="22"/>
          <w:shd w:val="clear" w:color="auto" w:fill="FFFFFF"/>
          <w:lang w:val="fr-BE"/>
        </w:rPr>
        <w:t xml:space="preserve"> </w:t>
      </w:r>
    </w:p>
    <w:p w14:paraId="5D72E139" w14:textId="458A2022" w:rsidR="008062AB" w:rsidRPr="003A11BB" w:rsidRDefault="003A11BB" w:rsidP="008062AB">
      <w:pPr>
        <w:widowControl w:val="0"/>
        <w:snapToGrid w:val="0"/>
        <w:spacing w:after="120" w:line="240" w:lineRule="auto"/>
        <w:ind w:firstLine="11"/>
        <w:jc w:val="both"/>
        <w:rPr>
          <w:rFonts w:eastAsia="Times New Roman" w:cs="Calibri"/>
          <w:szCs w:val="22"/>
          <w:lang w:val="fr-BE"/>
        </w:rPr>
      </w:pPr>
      <w:r w:rsidRPr="003A11BB">
        <w:rPr>
          <w:rFonts w:eastAsia="Times New Roman" w:cs="Calibri"/>
          <w:szCs w:val="22"/>
          <w:lang w:val="fr-BE"/>
        </w:rP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par un réviseur d’entreprise. Ce document doit être certifié conforme par un comptable IEC agréé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 comptable IEC ou par le réviseur d’entreprise suffit.</w:t>
      </w:r>
    </w:p>
    <w:p w14:paraId="2CFAAA70" w14:textId="0C887B49" w:rsidR="008062AB" w:rsidRPr="00F80DFD" w:rsidRDefault="00F80DFD" w:rsidP="00AF39DE">
      <w:pPr>
        <w:widowControl w:val="0"/>
        <w:snapToGrid w:val="0"/>
        <w:spacing w:after="120" w:line="240" w:lineRule="auto"/>
        <w:ind w:firstLine="11"/>
        <w:jc w:val="both"/>
        <w:rPr>
          <w:rFonts w:eastAsia="Times New Roman" w:cs="Calibri"/>
          <w:szCs w:val="22"/>
          <w:lang w:val="fr-BE"/>
        </w:rPr>
      </w:pPr>
      <w:r w:rsidRPr="00F80DFD">
        <w:rPr>
          <w:rFonts w:eastAsia="Times New Roman" w:cs="Calibri"/>
          <w:szCs w:val="22"/>
          <w:lang w:val="fr-BE"/>
        </w:rP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par l’organisme qui exerce ce type de fonction dans le pays concerné suffit.</w:t>
      </w:r>
      <w:r w:rsidRPr="00F80DFD">
        <w:rPr>
          <w:rFonts w:ascii="Times New Roman" w:eastAsia="Times New Roman" w:hAnsi="Times New Roman" w:cs="Times New Roman"/>
          <w:szCs w:val="22"/>
          <w:lang w:val="fr-BE"/>
        </w:rPr>
        <w:t> </w:t>
      </w:r>
    </w:p>
    <w:p w14:paraId="57FF68DA" w14:textId="479DC25A" w:rsidR="00CB5C44" w:rsidRPr="004C32B6" w:rsidRDefault="004C32B6" w:rsidP="004C32B6">
      <w:pPr>
        <w:pStyle w:val="Vade-mecumtitre3"/>
        <w:rPr>
          <w:sz w:val="22"/>
          <w:szCs w:val="22"/>
        </w:rPr>
      </w:pPr>
      <w:bookmarkStart w:id="325" w:name="_Toc117603215"/>
      <w:r>
        <w:rPr>
          <w:sz w:val="22"/>
          <w:szCs w:val="22"/>
        </w:rPr>
        <w:t xml:space="preserve">A11.1.2.2 </w:t>
      </w:r>
      <w:r w:rsidR="003A11BB" w:rsidRPr="004C32B6">
        <w:rPr>
          <w:sz w:val="22"/>
          <w:szCs w:val="22"/>
        </w:rPr>
        <w:t>Critères de sélection se rapportant à la compétence technique du soumissionnaire</w:t>
      </w:r>
      <w:r w:rsidR="003A11BB" w:rsidRPr="004C32B6">
        <w:rPr>
          <w:rFonts w:ascii="Times New Roman" w:hAnsi="Times New Roman" w:cs="Times New Roman"/>
          <w:sz w:val="22"/>
          <w:szCs w:val="22"/>
        </w:rPr>
        <w:t> </w:t>
      </w:r>
      <w:bookmarkEnd w:id="325"/>
    </w:p>
    <w:p w14:paraId="27695A90" w14:textId="10914BC3" w:rsidR="008062AB" w:rsidRPr="00C00EBE" w:rsidRDefault="00C00EBE" w:rsidP="008062AB">
      <w:pPr>
        <w:snapToGrid w:val="0"/>
        <w:spacing w:after="120" w:line="240" w:lineRule="auto"/>
        <w:ind w:firstLine="11"/>
        <w:jc w:val="both"/>
        <w:rPr>
          <w:rFonts w:eastAsia="Times New Roman" w:cs="Calibri"/>
          <w:szCs w:val="22"/>
          <w:lang w:val="fr-BE"/>
        </w:rPr>
      </w:pPr>
      <w:r w:rsidRPr="00C00EBE">
        <w:rPr>
          <w:rFonts w:eastAsia="Times New Roman" w:cs="Calibri"/>
          <w:szCs w:val="22"/>
          <w:u w:val="single"/>
          <w:lang w:val="fr-BE"/>
        </w:rPr>
        <w:t>Premier critère relatif à la compétence technique des soumissionnaires</w:t>
      </w:r>
    </w:p>
    <w:p w14:paraId="72F5BDF3" w14:textId="206436AB" w:rsidR="00C00EBE" w:rsidRPr="00C00EBE" w:rsidRDefault="00C00EBE" w:rsidP="00C00EBE">
      <w:pPr>
        <w:widowControl w:val="0"/>
        <w:snapToGrid w:val="0"/>
        <w:spacing w:after="120" w:line="240" w:lineRule="auto"/>
        <w:ind w:firstLine="11"/>
        <w:jc w:val="both"/>
        <w:rPr>
          <w:rFonts w:eastAsia="Times New Roman" w:cs="Calibri"/>
          <w:szCs w:val="22"/>
          <w:lang w:val="fr-BE"/>
        </w:rPr>
      </w:pPr>
      <w:r w:rsidRPr="00C00EBE">
        <w:rPr>
          <w:rFonts w:eastAsia="Times New Roman" w:cs="Calibri"/>
          <w:szCs w:val="22"/>
          <w:lang w:val="fr-BE"/>
        </w:rPr>
        <w:t>Le soumissionnaire doit disposer ou pouvoir disposer des techniciens ou des organismes techniques suffisants, en particulier les personnes ou les organismes qui sont responsables pour le contrôle de la qualité. Lors de l’évaluation de la compétence technique, seuls les techniciens ou les organismes techniques qui constitueront une plus-value dans le cadre du marché qui fait l’objet du présent cahier spécial des charges, seront pris en compte.</w:t>
      </w:r>
      <w:r w:rsidRPr="00C00EBE">
        <w:rPr>
          <w:rFonts w:ascii="Times New Roman" w:eastAsia="Times New Roman" w:hAnsi="Times New Roman" w:cs="Times New Roman"/>
          <w:szCs w:val="22"/>
          <w:lang w:val="fr-BE"/>
        </w:rPr>
        <w:t> </w:t>
      </w:r>
      <w:r w:rsidRPr="00C00EBE">
        <w:rPr>
          <w:rFonts w:eastAsia="Times New Roman" w:cs="Calibri"/>
          <w:szCs w:val="22"/>
          <w:lang w:val="fr-BE"/>
        </w:rPr>
        <w:t xml:space="preserve"> </w:t>
      </w:r>
    </w:p>
    <w:p w14:paraId="6FF02269" w14:textId="588507DD" w:rsidR="008062AB" w:rsidRPr="00C00EBE" w:rsidRDefault="00C00EBE" w:rsidP="00C00EBE">
      <w:pPr>
        <w:widowControl w:val="0"/>
        <w:snapToGrid w:val="0"/>
        <w:spacing w:after="120" w:line="240" w:lineRule="auto"/>
        <w:ind w:firstLine="11"/>
        <w:jc w:val="both"/>
        <w:rPr>
          <w:rFonts w:eastAsia="Times New Roman" w:cs="Calibri"/>
          <w:szCs w:val="22"/>
          <w:lang w:val="fr-BE"/>
        </w:rPr>
      </w:pPr>
      <w:r w:rsidRPr="00C00EBE">
        <w:rPr>
          <w:rFonts w:eastAsia="Times New Roman" w:cs="Calibri"/>
          <w:szCs w:val="22"/>
          <w:lang w:val="fr-BE"/>
        </w:rPr>
        <w:t>Le soumissionnaire joint à son offre un relevé reprenant les techniciens ou les organismes techniques qui appartiennent ou non à l’entreprise, en particulier ceux qui ont responsables pour le contrôle de la qualité.</w:t>
      </w:r>
      <w:r w:rsidRPr="00C00EBE">
        <w:rPr>
          <w:rFonts w:ascii="Times New Roman" w:eastAsia="Times New Roman" w:hAnsi="Times New Roman" w:cs="Times New Roman"/>
          <w:szCs w:val="22"/>
          <w:lang w:val="fr-BE"/>
        </w:rPr>
        <w:t> </w:t>
      </w:r>
    </w:p>
    <w:p w14:paraId="6A64FF44" w14:textId="2141DE4B" w:rsidR="008062AB" w:rsidRPr="00726D0A" w:rsidRDefault="00726D0A" w:rsidP="008062AB">
      <w:pPr>
        <w:snapToGrid w:val="0"/>
        <w:spacing w:before="120" w:after="120" w:line="240" w:lineRule="auto"/>
        <w:ind w:firstLine="11"/>
        <w:jc w:val="both"/>
        <w:rPr>
          <w:rFonts w:eastAsia="Times New Roman" w:cs="Calibri"/>
          <w:szCs w:val="22"/>
          <w:u w:val="single"/>
          <w:lang w:val="fr-BE"/>
        </w:rPr>
      </w:pPr>
      <w:r w:rsidRPr="00726D0A">
        <w:rPr>
          <w:rFonts w:eastAsia="Times New Roman" w:cs="Calibri"/>
          <w:szCs w:val="22"/>
          <w:u w:val="single"/>
          <w:lang w:val="fr-BE"/>
        </w:rPr>
        <w:t>Deuxième critère relatif à la compétence technique des soumissionnaires</w:t>
      </w:r>
    </w:p>
    <w:p w14:paraId="6A90B703" w14:textId="3C218F56" w:rsidR="00726D0A" w:rsidRPr="00A53D39" w:rsidRDefault="00726D0A" w:rsidP="00726D0A">
      <w:pPr>
        <w:snapToGrid w:val="0"/>
        <w:spacing w:after="120" w:line="240" w:lineRule="auto"/>
        <w:ind w:firstLine="11"/>
        <w:jc w:val="both"/>
        <w:rPr>
          <w:rFonts w:eastAsia="Times New Roman" w:cs="Calibri"/>
          <w:szCs w:val="22"/>
          <w:lang w:val="fr-BE"/>
        </w:rPr>
      </w:pPr>
      <w:r w:rsidRPr="00A53D39">
        <w:rPr>
          <w:rFonts w:eastAsia="Times New Roman" w:cs="Calibri"/>
          <w:szCs w:val="22"/>
          <w:lang w:val="fr-BE"/>
        </w:rPr>
        <w:t>Le soumissionnaire doit disposer du personnel suffisamment compétent pour pouvoir exécuter le marché convenablement.</w:t>
      </w:r>
      <w:r w:rsidRPr="00A53D39">
        <w:rPr>
          <w:rFonts w:ascii="Times New Roman" w:eastAsia="Times New Roman" w:hAnsi="Times New Roman" w:cs="Times New Roman"/>
          <w:szCs w:val="22"/>
          <w:lang w:val="fr-BE"/>
        </w:rPr>
        <w:t> </w:t>
      </w:r>
      <w:r w:rsidRPr="00A53D39">
        <w:rPr>
          <w:rFonts w:eastAsia="Times New Roman" w:cs="Calibri"/>
          <w:szCs w:val="22"/>
          <w:lang w:val="fr-BE"/>
        </w:rPr>
        <w:t xml:space="preserve"> </w:t>
      </w:r>
    </w:p>
    <w:p w14:paraId="3D65474D" w14:textId="7666F6C7" w:rsidR="008062AB" w:rsidRPr="00A53D39" w:rsidRDefault="00726D0A" w:rsidP="00726D0A">
      <w:pPr>
        <w:snapToGrid w:val="0"/>
        <w:spacing w:after="120" w:line="240" w:lineRule="auto"/>
        <w:ind w:firstLine="11"/>
        <w:jc w:val="both"/>
        <w:rPr>
          <w:rFonts w:eastAsia="Times New Roman" w:cs="Calibri"/>
          <w:szCs w:val="22"/>
          <w:lang w:val="fr-BE"/>
        </w:rPr>
      </w:pPr>
      <w:r w:rsidRPr="00A53D39">
        <w:rPr>
          <w:rFonts w:eastAsia="Times New Roman" w:cs="Calibri"/>
          <w:szCs w:val="22"/>
          <w:lang w:val="fr-BE"/>
        </w:rPr>
        <w:t>Le soumissionnaire joint à son offre un relevé reprenant le personnel qui sera mis en œuvre lors de la réalisation du marché. Dans ce document, le soumissionnaire mentionne les diplômes dont ce personnel est titulaire, ainsi que les qualifications professionnelles et l’expérience.</w:t>
      </w:r>
      <w:r w:rsidRPr="00A53D39">
        <w:rPr>
          <w:rFonts w:ascii="Times New Roman" w:eastAsia="Times New Roman" w:hAnsi="Times New Roman" w:cs="Times New Roman"/>
          <w:szCs w:val="22"/>
          <w:lang w:val="fr-BE"/>
        </w:rPr>
        <w:t> </w:t>
      </w:r>
    </w:p>
    <w:p w14:paraId="02428EEA" w14:textId="7C7ACF81" w:rsidR="0073228C" w:rsidRPr="00A53D39" w:rsidRDefault="00C50594" w:rsidP="0073228C">
      <w:pPr>
        <w:snapToGrid w:val="0"/>
        <w:spacing w:after="120" w:line="240" w:lineRule="auto"/>
        <w:ind w:firstLine="11"/>
        <w:jc w:val="both"/>
        <w:rPr>
          <w:rFonts w:eastAsia="Times New Roman" w:cs="Calibri"/>
          <w:szCs w:val="22"/>
          <w:lang w:val="fr-BE"/>
        </w:rPr>
      </w:pPr>
      <w:r w:rsidRPr="00A53D39">
        <w:rPr>
          <w:rFonts w:eastAsia="Times New Roman" w:cs="Calibri"/>
          <w:szCs w:val="22"/>
          <w:lang w:val="fr-BE"/>
        </w:rPr>
        <w:t>En ce qui concerne les qualités techniques des évaluateurs, le soumissionnaire doit y ajouter leurs CV détaillés</w:t>
      </w:r>
      <w:r w:rsidRPr="00A53D39">
        <w:rPr>
          <w:rFonts w:ascii="Times New Roman" w:eastAsia="Times New Roman" w:hAnsi="Times New Roman" w:cs="Times New Roman"/>
          <w:szCs w:val="22"/>
          <w:lang w:val="fr-BE"/>
        </w:rPr>
        <w:t> </w:t>
      </w:r>
      <w:r w:rsidRPr="00A53D39">
        <w:rPr>
          <w:rFonts w:eastAsia="Times New Roman" w:cs="Calibri"/>
          <w:szCs w:val="22"/>
          <w:lang w:val="fr-BE"/>
        </w:rPr>
        <w:t>:</w:t>
      </w:r>
    </w:p>
    <w:p w14:paraId="16428F89" w14:textId="16368EA4" w:rsidR="0073228C" w:rsidRPr="00A53D39" w:rsidRDefault="0073228C" w:rsidP="0073228C">
      <w:pPr>
        <w:numPr>
          <w:ilvl w:val="0"/>
          <w:numId w:val="34"/>
        </w:numPr>
        <w:pBdr>
          <w:top w:val="nil"/>
          <w:left w:val="nil"/>
          <w:bottom w:val="nil"/>
          <w:right w:val="nil"/>
          <w:between w:val="nil"/>
          <w:bar w:val="nil"/>
        </w:pBdr>
        <w:tabs>
          <w:tab w:val="left" w:pos="5340"/>
        </w:tabs>
        <w:snapToGrid w:val="0"/>
        <w:spacing w:after="120" w:line="240" w:lineRule="auto"/>
        <w:jc w:val="both"/>
        <w:rPr>
          <w:rFonts w:eastAsia="Calibri" w:cs="Calibri"/>
          <w:color w:val="000000"/>
          <w:szCs w:val="22"/>
          <w:u w:color="000000"/>
          <w:bdr w:val="nil"/>
          <w:lang w:val="fr-BE" w:eastAsia="nl-BE"/>
        </w:rPr>
      </w:pPr>
      <w:r w:rsidRPr="00A53D39">
        <w:rPr>
          <w:rFonts w:eastAsia="Calibri" w:cs="Calibri"/>
          <w:color w:val="000000"/>
          <w:bdr w:val="nil"/>
          <w:lang w:val="fr-BE" w:eastAsia="nl-BE"/>
        </w:rPr>
        <w:t xml:space="preserve">En outre, afin d’éviter les conflits d’intérêts, le CV des évaluateurs proposés doit indiquer clairement les interventions financées par des fonds fédéraux belges pour lesquelles ils ont participé (soit à la préparation, à la mise en </w:t>
      </w:r>
      <w:r w:rsidR="00C92AB3">
        <w:rPr>
          <w:rFonts w:eastAsia="Calibri" w:cs="Calibri"/>
          <w:color w:val="000000"/>
          <w:bdr w:val="nil"/>
          <w:lang w:val="fr-BE" w:eastAsia="nl-BE"/>
        </w:rPr>
        <w:t xml:space="preserve">œuvre </w:t>
      </w:r>
      <w:r w:rsidRPr="00A53D39">
        <w:rPr>
          <w:rFonts w:eastAsia="Calibri" w:cs="Calibri"/>
          <w:color w:val="000000"/>
          <w:bdr w:val="nil"/>
          <w:lang w:val="fr-BE" w:eastAsia="nl-BE"/>
        </w:rPr>
        <w:t>ou à une évaluation précédente),</w:t>
      </w:r>
    </w:p>
    <w:p w14:paraId="12894ADF" w14:textId="26806AFD" w:rsidR="0073228C" w:rsidRPr="00A53D39" w:rsidRDefault="0073228C" w:rsidP="0073228C">
      <w:pPr>
        <w:numPr>
          <w:ilvl w:val="0"/>
          <w:numId w:val="34"/>
        </w:numPr>
        <w:pBdr>
          <w:top w:val="nil"/>
          <w:left w:val="nil"/>
          <w:bottom w:val="nil"/>
          <w:right w:val="nil"/>
          <w:between w:val="nil"/>
          <w:bar w:val="nil"/>
        </w:pBdr>
        <w:tabs>
          <w:tab w:val="left" w:pos="5340"/>
        </w:tabs>
        <w:snapToGrid w:val="0"/>
        <w:spacing w:after="120" w:line="240" w:lineRule="auto"/>
        <w:jc w:val="both"/>
        <w:rPr>
          <w:rFonts w:eastAsia="Calibri" w:cs="Calibri"/>
          <w:color w:val="000000"/>
          <w:szCs w:val="22"/>
          <w:u w:color="000000"/>
          <w:bdr w:val="nil"/>
          <w:lang w:val="fr-BE" w:eastAsia="nl-BE"/>
        </w:rPr>
      </w:pPr>
      <w:r w:rsidRPr="00A53D39">
        <w:rPr>
          <w:rFonts w:eastAsia="Calibri" w:cs="Calibri"/>
          <w:color w:val="000000"/>
          <w:bdr w:val="nil"/>
          <w:lang w:val="fr-BE" w:eastAsia="nl-BE"/>
        </w:rPr>
        <w:t>Les CV des évaluateurs individuels doivent démontrer que les compétences linguistiques cumulatives de l’équipe d’évaluation leur permettent de travailler en néerlandais, en français et en anglais et dans les langues des pays concernés.</w:t>
      </w:r>
    </w:p>
    <w:p w14:paraId="6D869A45" w14:textId="19EDFE0B" w:rsidR="008062AB" w:rsidRPr="00A53D39" w:rsidRDefault="0073228C" w:rsidP="0073228C">
      <w:pPr>
        <w:numPr>
          <w:ilvl w:val="0"/>
          <w:numId w:val="34"/>
        </w:numPr>
        <w:pBdr>
          <w:top w:val="nil"/>
          <w:left w:val="nil"/>
          <w:bottom w:val="nil"/>
          <w:right w:val="nil"/>
          <w:between w:val="nil"/>
          <w:bar w:val="nil"/>
        </w:pBdr>
        <w:tabs>
          <w:tab w:val="left" w:pos="5340"/>
        </w:tabs>
        <w:snapToGrid w:val="0"/>
        <w:spacing w:after="120" w:line="240" w:lineRule="auto"/>
        <w:jc w:val="both"/>
        <w:rPr>
          <w:rFonts w:eastAsia="Calibri" w:cs="Calibri"/>
          <w:color w:val="000000"/>
          <w:szCs w:val="22"/>
          <w:u w:color="000000"/>
          <w:bdr w:val="nil"/>
          <w:lang w:val="fr-BE" w:eastAsia="nl-BE"/>
        </w:rPr>
      </w:pPr>
      <w:r w:rsidRPr="00A53D39">
        <w:rPr>
          <w:rFonts w:eastAsia="Calibri" w:cs="Calibri"/>
          <w:color w:val="000000"/>
          <w:bdr w:val="nil"/>
          <w:lang w:val="fr-BE" w:eastAsia="nl-BE"/>
        </w:rPr>
        <w:t>Pour bien comprendre les documents rédigés par l’Administration belge, au moins un membre de l’équipe d’évaluation doit disposer d’une connaissance active respectivement du français et du néerlandais (niveau langue maternelle). Si le chef d’équipe n’a pas une bonne connaissance du français ou du néerlandais, il devra au moins être assisté par un co-chef d’équipe qui a cette connaissance.</w:t>
      </w:r>
    </w:p>
    <w:p w14:paraId="5FD9448C" w14:textId="076A3336" w:rsidR="008062AB" w:rsidRPr="00A53D39" w:rsidRDefault="001214D4" w:rsidP="008062AB">
      <w:pPr>
        <w:snapToGrid w:val="0"/>
        <w:spacing w:before="120" w:after="120" w:line="240" w:lineRule="auto"/>
        <w:ind w:firstLine="11"/>
        <w:jc w:val="both"/>
        <w:rPr>
          <w:rFonts w:eastAsia="Times New Roman" w:cs="Calibri"/>
          <w:szCs w:val="22"/>
          <w:u w:val="single"/>
          <w:lang w:val="fr-BE"/>
        </w:rPr>
      </w:pPr>
      <w:r w:rsidRPr="00A53D39">
        <w:rPr>
          <w:rFonts w:eastAsia="Times New Roman" w:cs="Calibri"/>
          <w:szCs w:val="22"/>
          <w:u w:val="single"/>
          <w:lang w:val="fr-BE"/>
        </w:rPr>
        <w:t>Troisième critère relatif à la compétence technique des soumissionnaires</w:t>
      </w:r>
    </w:p>
    <w:p w14:paraId="09BC76CC" w14:textId="77777777" w:rsidR="00461AEC" w:rsidRPr="00A53D39" w:rsidRDefault="00461AEC" w:rsidP="00461AEC">
      <w:pPr>
        <w:snapToGrid w:val="0"/>
        <w:spacing w:before="120" w:after="120" w:line="240" w:lineRule="auto"/>
        <w:ind w:firstLine="11"/>
        <w:jc w:val="both"/>
        <w:rPr>
          <w:rFonts w:eastAsia="Times New Roman" w:cs="Calibri"/>
          <w:b/>
          <w:bCs/>
          <w:szCs w:val="22"/>
          <w:lang w:val="fr-BE"/>
        </w:rPr>
      </w:pPr>
      <w:r w:rsidRPr="00A53D39">
        <w:rPr>
          <w:rFonts w:eastAsia="Times New Roman" w:cs="Calibri"/>
          <w:szCs w:val="22"/>
          <w:lang w:val="fr-BE"/>
        </w:rPr>
        <w:t xml:space="preserve">Le soumissionnaire doit joindre à son appel d’offres </w:t>
      </w:r>
      <w:r w:rsidRPr="00A53D39">
        <w:rPr>
          <w:rFonts w:eastAsia="Times New Roman" w:cs="Calibri"/>
          <w:b/>
          <w:bCs/>
          <w:szCs w:val="22"/>
          <w:lang w:val="fr-BE"/>
        </w:rPr>
        <w:t xml:space="preserve">une liste de toutes les études et évaluations réalisées au cours des cinq dernières années ou réalisées par les membres de l’équipe d’évaluation et pertinentes à cette évaluation.  </w:t>
      </w:r>
    </w:p>
    <w:p w14:paraId="31F6A66B" w14:textId="42B1E528" w:rsidR="008062AB" w:rsidRPr="00A53D39" w:rsidRDefault="00461AEC" w:rsidP="00345D99">
      <w:pPr>
        <w:snapToGrid w:val="0"/>
        <w:spacing w:before="120" w:after="120" w:line="240" w:lineRule="auto"/>
        <w:jc w:val="both"/>
        <w:rPr>
          <w:rFonts w:eastAsia="Times New Roman" w:cs="Calibri"/>
          <w:szCs w:val="22"/>
          <w:lang w:val="fr-BE"/>
        </w:rPr>
      </w:pPr>
      <w:r w:rsidRPr="00A53D39">
        <w:rPr>
          <w:rFonts w:eastAsia="Times New Roman" w:cs="Calibri"/>
          <w:szCs w:val="22"/>
          <w:lang w:val="fr-BE"/>
        </w:rPr>
        <w:t>Les exigences entourant cette liste d’études et d’évaluations sont expliquées sous C1.Fiche d</w:t>
      </w:r>
      <w:r w:rsidR="002A1F52" w:rsidRPr="00A53D39">
        <w:rPr>
          <w:rFonts w:eastAsia="Times New Roman" w:cs="Calibri"/>
          <w:szCs w:val="22"/>
          <w:lang w:val="fr-BE"/>
        </w:rPr>
        <w:t>e renseignements</w:t>
      </w:r>
      <w:r w:rsidRPr="00A53D39">
        <w:rPr>
          <w:rFonts w:eastAsia="Times New Roman" w:cs="Calibri"/>
          <w:szCs w:val="22"/>
          <w:lang w:val="fr-BE"/>
        </w:rPr>
        <w:t xml:space="preserve"> - offre technique et financière</w:t>
      </w:r>
      <w:r w:rsidR="004E6130" w:rsidRPr="00A53D39">
        <w:rPr>
          <w:rFonts w:eastAsia="Times New Roman" w:cs="Calibri"/>
          <w:szCs w:val="22"/>
          <w:lang w:val="fr-BE"/>
        </w:rPr>
        <w:t>. L’organisme adjudicateur devrait être en mesure de consulter les rapports d’évaluation indiqués sur cette liste. À cette fin, la liste indique où les rapports sont publiés et/ou où l’organisme adjudicateur peut trouver ces documents.</w:t>
      </w:r>
      <w:r w:rsidR="004E6130" w:rsidRPr="00A53D39">
        <w:rPr>
          <w:rFonts w:ascii="Times New Roman" w:eastAsia="Times New Roman" w:hAnsi="Times New Roman" w:cs="Times New Roman"/>
          <w:szCs w:val="22"/>
          <w:lang w:val="fr-BE"/>
        </w:rPr>
        <w:t>  </w:t>
      </w:r>
    </w:p>
    <w:p w14:paraId="326DDD50" w14:textId="65743403" w:rsidR="00AA3309" w:rsidRPr="00A53D39" w:rsidRDefault="00AA3309" w:rsidP="00AA3309">
      <w:pPr>
        <w:widowControl w:val="0"/>
        <w:snapToGrid w:val="0"/>
        <w:spacing w:after="120" w:line="240" w:lineRule="auto"/>
        <w:ind w:firstLine="11"/>
        <w:jc w:val="both"/>
        <w:rPr>
          <w:rFonts w:eastAsia="Times New Roman" w:cs="Calibri"/>
          <w:szCs w:val="22"/>
          <w:lang w:val="fr-BE"/>
        </w:rPr>
      </w:pPr>
      <w:r w:rsidRPr="00A53D39">
        <w:rPr>
          <w:rFonts w:eastAsia="Times New Roman" w:cs="Calibri"/>
          <w:szCs w:val="22"/>
          <w:lang w:val="fr-BE"/>
        </w:rPr>
        <w:t>La liste des évaluations comprend également toutes les publications pertinentes (académiques) des membres de l’équipe d’évaluation.</w:t>
      </w:r>
      <w:r w:rsidRPr="00A53D39">
        <w:rPr>
          <w:rFonts w:ascii="Times New Roman" w:eastAsia="Times New Roman" w:hAnsi="Times New Roman" w:cs="Times New Roman"/>
          <w:szCs w:val="22"/>
          <w:lang w:val="fr-BE"/>
        </w:rPr>
        <w:t> </w:t>
      </w:r>
      <w:r w:rsidRPr="00A53D39">
        <w:rPr>
          <w:rFonts w:eastAsia="Times New Roman" w:cs="Calibri"/>
          <w:szCs w:val="22"/>
          <w:lang w:val="fr-BE"/>
        </w:rPr>
        <w:t xml:space="preserve"> </w:t>
      </w:r>
    </w:p>
    <w:p w14:paraId="6BCA4364" w14:textId="36E0FB12" w:rsidR="008062AB" w:rsidRPr="00AA3309" w:rsidRDefault="00AA3309" w:rsidP="00AA3309">
      <w:pPr>
        <w:widowControl w:val="0"/>
        <w:snapToGrid w:val="0"/>
        <w:spacing w:after="120" w:line="240" w:lineRule="auto"/>
        <w:ind w:firstLine="11"/>
        <w:jc w:val="both"/>
        <w:rPr>
          <w:rFonts w:eastAsia="Times New Roman" w:cs="Calibri"/>
          <w:szCs w:val="22"/>
          <w:lang w:val="fr-BE"/>
        </w:rPr>
      </w:pPr>
      <w:r w:rsidRPr="00A53D39">
        <w:rPr>
          <w:rFonts w:eastAsia="Times New Roman" w:cs="Calibri"/>
          <w:szCs w:val="22"/>
          <w:lang w:val="fr-BE"/>
        </w:rPr>
        <w:t>Le soumissionnaire joint à son offre une liste reprenant les services les plus importants qui ont été effectués au cours des cinq dernières années,</w:t>
      </w:r>
      <w:r w:rsidRPr="00AA3309">
        <w:rPr>
          <w:rFonts w:eastAsia="Times New Roman" w:cs="Calibri"/>
          <w:szCs w:val="22"/>
          <w:lang w:val="fr-BE"/>
        </w:rPr>
        <w:t xml:space="preserve"> avec mention du montant et de la date et des destinataires publics ou privés. Les services sont prouvés par des attestations émises ou contresignées par l’autorité compétente ou, lorsque le destinataire était un acheteur privé par une attestation de l’acheteur ou à défaut par une simple déclaration de l’adjudicataire.</w:t>
      </w:r>
      <w:r w:rsidRPr="00AA3309">
        <w:rPr>
          <w:rFonts w:ascii="Times New Roman" w:eastAsia="Times New Roman" w:hAnsi="Times New Roman" w:cs="Times New Roman"/>
          <w:szCs w:val="22"/>
          <w:lang w:val="fr-BE"/>
        </w:rPr>
        <w:t> </w:t>
      </w:r>
    </w:p>
    <w:p w14:paraId="49883A0E" w14:textId="17166772" w:rsidR="008062AB" w:rsidRPr="00420D5A" w:rsidRDefault="00420D5A" w:rsidP="008062AB">
      <w:pPr>
        <w:snapToGrid w:val="0"/>
        <w:spacing w:before="120" w:after="120" w:line="240" w:lineRule="auto"/>
        <w:ind w:firstLine="11"/>
        <w:jc w:val="both"/>
        <w:rPr>
          <w:rFonts w:eastAsia="Times New Roman" w:cs="Calibri"/>
          <w:szCs w:val="22"/>
          <w:u w:val="single"/>
          <w:lang w:val="fr-BE"/>
        </w:rPr>
      </w:pPr>
      <w:r w:rsidRPr="00420D5A">
        <w:rPr>
          <w:rFonts w:eastAsia="Times New Roman" w:cs="Calibri"/>
          <w:szCs w:val="22"/>
          <w:u w:val="single"/>
          <w:lang w:val="fr-BE"/>
        </w:rPr>
        <w:t>Remarque importante</w:t>
      </w:r>
    </w:p>
    <w:p w14:paraId="3F1A19BC" w14:textId="59364E61" w:rsidR="00AF39DE" w:rsidRPr="00420D5A" w:rsidRDefault="00420D5A" w:rsidP="00640182">
      <w:pPr>
        <w:widowControl w:val="0"/>
        <w:snapToGrid w:val="0"/>
        <w:spacing w:after="120" w:line="240" w:lineRule="auto"/>
        <w:ind w:firstLine="11"/>
        <w:jc w:val="both"/>
        <w:rPr>
          <w:rFonts w:eastAsia="Times New Roman" w:cs="Calibri"/>
          <w:szCs w:val="22"/>
          <w:lang w:val="fr-BE"/>
        </w:rPr>
      </w:pPr>
      <w:r w:rsidRPr="00420D5A">
        <w:rPr>
          <w:rFonts w:eastAsia="Times New Roman" w:cs="Calibri"/>
          <w:szCs w:val="22"/>
          <w:lang w:val="fr-BE"/>
        </w:rPr>
        <w:t>Le soumissionnaire doit indiquer dans son offre la part du marché qu’il entend sous-traiter ainsi que le ou les sous-traitant(s) proposé(s).</w:t>
      </w:r>
      <w:r w:rsidRPr="00420D5A">
        <w:rPr>
          <w:rFonts w:ascii="Times New Roman" w:eastAsia="Times New Roman" w:hAnsi="Times New Roman" w:cs="Times New Roman"/>
          <w:szCs w:val="22"/>
          <w:lang w:val="fr-BE"/>
        </w:rPr>
        <w:t> </w:t>
      </w:r>
    </w:p>
    <w:p w14:paraId="0D1D0236" w14:textId="53B3ED3E" w:rsidR="008062AB" w:rsidRPr="00AF0649" w:rsidRDefault="00420D5A" w:rsidP="008062AB">
      <w:pPr>
        <w:pBdr>
          <w:top w:val="single" w:sz="4" w:space="1" w:color="auto"/>
          <w:left w:val="single" w:sz="4" w:space="1" w:color="auto"/>
          <w:bottom w:val="single" w:sz="4" w:space="1" w:color="auto"/>
          <w:right w:val="single" w:sz="4" w:space="1" w:color="auto"/>
        </w:pBdr>
        <w:shd w:val="clear" w:color="auto" w:fill="E7E6E6"/>
        <w:snapToGrid w:val="0"/>
        <w:spacing w:after="120" w:line="240" w:lineRule="auto"/>
        <w:ind w:firstLine="11"/>
        <w:jc w:val="both"/>
        <w:rPr>
          <w:rFonts w:eastAsia="Times New Roman" w:cs="Calibri"/>
          <w:color w:val="000000"/>
          <w:szCs w:val="22"/>
          <w:lang w:val="fr-BE"/>
        </w:rPr>
      </w:pPr>
      <w:bookmarkStart w:id="326" w:name="_Hlk9581739"/>
      <w:bookmarkStart w:id="327" w:name="_Hlk9581519"/>
      <w:r w:rsidRPr="00AF0649">
        <w:rPr>
          <w:rFonts w:eastAsia="Times New Roman" w:cs="Calibri"/>
          <w:color w:val="000000"/>
          <w:szCs w:val="22"/>
          <w:lang w:val="fr-BE"/>
        </w:rPr>
        <w:t>SOUS-TRAITANCE IMPORTANT</w:t>
      </w:r>
      <w:r w:rsidRPr="00AF0649">
        <w:rPr>
          <w:rFonts w:ascii="Times New Roman" w:eastAsia="Times New Roman" w:hAnsi="Times New Roman" w:cs="Times New Roman"/>
          <w:color w:val="000000"/>
          <w:szCs w:val="22"/>
          <w:lang w:val="fr-BE"/>
        </w:rPr>
        <w:t>  </w:t>
      </w:r>
    </w:p>
    <w:bookmarkEnd w:id="326"/>
    <w:p w14:paraId="39192A5E" w14:textId="77777777" w:rsidR="00AF0649" w:rsidRPr="00AF0649" w:rsidRDefault="00AF0649" w:rsidP="00AF0649">
      <w:pPr>
        <w:pBdr>
          <w:top w:val="single" w:sz="4" w:space="1" w:color="auto"/>
          <w:left w:val="single" w:sz="4" w:space="1" w:color="auto"/>
          <w:bottom w:val="single" w:sz="4" w:space="1" w:color="auto"/>
          <w:right w:val="single" w:sz="4" w:space="1" w:color="auto"/>
        </w:pBdr>
        <w:shd w:val="clear" w:color="auto" w:fill="E7E6E6"/>
        <w:tabs>
          <w:tab w:val="left" w:pos="851"/>
        </w:tabs>
        <w:snapToGrid w:val="0"/>
        <w:spacing w:after="120" w:line="240" w:lineRule="auto"/>
        <w:ind w:firstLine="11"/>
        <w:jc w:val="both"/>
        <w:rPr>
          <w:rFonts w:eastAsia="Times New Roman" w:cs="Calibri"/>
          <w:color w:val="000000"/>
          <w:szCs w:val="22"/>
          <w:lang w:val="fr-BE" w:eastAsia="nl-NL"/>
        </w:rPr>
      </w:pPr>
      <w:r w:rsidRPr="00AF0649">
        <w:rPr>
          <w:rFonts w:eastAsia="Times New Roman" w:cs="Calibri"/>
          <w:color w:val="000000"/>
          <w:szCs w:val="22"/>
          <w:lang w:val="fr-BE" w:eastAsia="nl-NL"/>
        </w:rPr>
        <w:t>Conformément à l’article 12/1 de l’Arrêté royal du 14 janvier 2013 établissant les règles générales d’exécution des marchés publics, l’adjudicataire transmettra, au plus tard au début de l’exécution du marché, #transmettra à la demande du pouvoir adjudicateur# les informations suivantes au pouvoir adjudicateur</w:t>
      </w:r>
      <w:r w:rsidRPr="00AF0649">
        <w:rPr>
          <w:rFonts w:ascii="Times New Roman" w:eastAsia="Times New Roman" w:hAnsi="Times New Roman" w:cs="Times New Roman"/>
          <w:color w:val="000000"/>
          <w:szCs w:val="22"/>
          <w:lang w:val="fr-BE" w:eastAsia="nl-NL"/>
        </w:rPr>
        <w:t> </w:t>
      </w:r>
      <w:r w:rsidRPr="00AF0649">
        <w:rPr>
          <w:rFonts w:eastAsia="Times New Roman" w:cs="Calibri"/>
          <w:color w:val="000000"/>
          <w:szCs w:val="22"/>
          <w:lang w:val="fr-BE" w:eastAsia="nl-NL"/>
        </w:rPr>
        <w:t>: le nom, les coordonn</w:t>
      </w:r>
      <w:r w:rsidRPr="00AF0649">
        <w:rPr>
          <w:rFonts w:eastAsia="Times New Roman" w:cs="Roboto"/>
          <w:color w:val="000000"/>
          <w:szCs w:val="22"/>
          <w:lang w:val="fr-BE" w:eastAsia="nl-NL"/>
        </w:rPr>
        <w:t>é</w:t>
      </w:r>
      <w:r w:rsidRPr="00AF0649">
        <w:rPr>
          <w:rFonts w:eastAsia="Times New Roman" w:cs="Calibri"/>
          <w:color w:val="000000"/>
          <w:szCs w:val="22"/>
          <w:lang w:val="fr-BE" w:eastAsia="nl-NL"/>
        </w:rPr>
        <w:t>es et les repr</w:t>
      </w:r>
      <w:r w:rsidRPr="00AF0649">
        <w:rPr>
          <w:rFonts w:eastAsia="Times New Roman" w:cs="Roboto"/>
          <w:color w:val="000000"/>
          <w:szCs w:val="22"/>
          <w:lang w:val="fr-BE" w:eastAsia="nl-NL"/>
        </w:rPr>
        <w:t>é</w:t>
      </w:r>
      <w:r w:rsidRPr="00AF0649">
        <w:rPr>
          <w:rFonts w:eastAsia="Times New Roman" w:cs="Calibri"/>
          <w:color w:val="000000"/>
          <w:szCs w:val="22"/>
          <w:lang w:val="fr-BE" w:eastAsia="nl-NL"/>
        </w:rPr>
        <w:t>sentants l</w:t>
      </w:r>
      <w:r w:rsidRPr="00AF0649">
        <w:rPr>
          <w:rFonts w:eastAsia="Times New Roman" w:cs="Roboto"/>
          <w:color w:val="000000"/>
          <w:szCs w:val="22"/>
          <w:lang w:val="fr-BE" w:eastAsia="nl-NL"/>
        </w:rPr>
        <w:t>é</w:t>
      </w:r>
      <w:r w:rsidRPr="00AF0649">
        <w:rPr>
          <w:rFonts w:eastAsia="Times New Roman" w:cs="Calibri"/>
          <w:color w:val="000000"/>
          <w:szCs w:val="22"/>
          <w:lang w:val="fr-BE" w:eastAsia="nl-NL"/>
        </w:rPr>
        <w:t xml:space="preserve">gaux de tous les sous-traitants, quelle que soit la mesure dans laquelle ils participent </w:t>
      </w:r>
      <w:r w:rsidRPr="00AF0649">
        <w:rPr>
          <w:rFonts w:eastAsia="Times New Roman" w:cs="Roboto"/>
          <w:color w:val="000000"/>
          <w:szCs w:val="22"/>
          <w:lang w:val="fr-BE" w:eastAsia="nl-NL"/>
        </w:rPr>
        <w:t>à</w:t>
      </w:r>
      <w:r w:rsidRPr="00AF0649">
        <w:rPr>
          <w:rFonts w:eastAsia="Times New Roman" w:cs="Calibri"/>
          <w:color w:val="000000"/>
          <w:szCs w:val="22"/>
          <w:lang w:val="fr-BE" w:eastAsia="nl-NL"/>
        </w:rPr>
        <w:t xml:space="preserve"> la cha</w:t>
      </w:r>
      <w:r w:rsidRPr="00AF0649">
        <w:rPr>
          <w:rFonts w:eastAsia="Times New Roman" w:cs="Roboto"/>
          <w:color w:val="000000"/>
          <w:szCs w:val="22"/>
          <w:lang w:val="fr-BE" w:eastAsia="nl-NL"/>
        </w:rPr>
        <w:t>î</w:t>
      </w:r>
      <w:r w:rsidRPr="00AF0649">
        <w:rPr>
          <w:rFonts w:eastAsia="Times New Roman" w:cs="Calibri"/>
          <w:color w:val="000000"/>
          <w:szCs w:val="22"/>
          <w:lang w:val="fr-BE" w:eastAsia="nl-NL"/>
        </w:rPr>
        <w:t>ne de sous-traitance et quelle que soit leur place dans cette chaîne, participant à la prestation des services, dans la mesure où ces informations sont connues à ce stade. L’adjudicataire est également tenu de porter à la connaissance du pouvoir adjudicateur de tout changement relatif à ces informations ainsi que des informations requises pour tout nouveau sous-traitant qui participera ultérieurement à la prestation de ces services. Ces informations peuvent être fournies dans le Document Unique de Marché Européen (DUME).</w:t>
      </w:r>
      <w:r w:rsidRPr="00AF0649">
        <w:rPr>
          <w:rFonts w:ascii="Times New Roman" w:eastAsia="Times New Roman" w:hAnsi="Times New Roman" w:cs="Times New Roman"/>
          <w:color w:val="000000"/>
          <w:szCs w:val="22"/>
          <w:lang w:val="fr-BE" w:eastAsia="nl-NL"/>
        </w:rPr>
        <w:t> </w:t>
      </w:r>
      <w:r w:rsidRPr="00AF0649">
        <w:rPr>
          <w:rFonts w:eastAsia="Times New Roman" w:cs="Calibri"/>
          <w:color w:val="000000"/>
          <w:szCs w:val="22"/>
          <w:lang w:val="fr-BE" w:eastAsia="nl-NL"/>
        </w:rPr>
        <w:t xml:space="preserve"> </w:t>
      </w:r>
    </w:p>
    <w:bookmarkEnd w:id="327"/>
    <w:p w14:paraId="15CAB52B" w14:textId="3C1CD1D0" w:rsidR="005E4F5A" w:rsidRPr="00AF0649" w:rsidRDefault="005E4F5A" w:rsidP="002E11A8">
      <w:pPr>
        <w:snapToGrid w:val="0"/>
        <w:spacing w:after="120" w:line="240" w:lineRule="auto"/>
        <w:jc w:val="both"/>
        <w:rPr>
          <w:rFonts w:cs="Calibri"/>
          <w:szCs w:val="22"/>
          <w:lang w:val="fr-BE" w:eastAsia="nl-NL"/>
        </w:rPr>
      </w:pPr>
    </w:p>
    <w:p w14:paraId="0F68D89D" w14:textId="4AD91516" w:rsidR="002E11A8" w:rsidRPr="002E11A8" w:rsidRDefault="002E11A8" w:rsidP="0005424C">
      <w:pPr>
        <w:pStyle w:val="Vade-mecumtitre2"/>
      </w:pPr>
      <w:bookmarkStart w:id="328" w:name="_Toc529699984"/>
      <w:bookmarkStart w:id="329" w:name="_Toc529700600"/>
      <w:bookmarkStart w:id="330" w:name="_Toc529747456"/>
      <w:bookmarkStart w:id="331" w:name="_Toc230700"/>
      <w:bookmarkStart w:id="332" w:name="_Toc230754"/>
      <w:bookmarkStart w:id="333" w:name="_Toc12079549"/>
      <w:bookmarkStart w:id="334" w:name="_Toc12862745"/>
      <w:bookmarkStart w:id="335" w:name="_Toc19591204"/>
      <w:bookmarkStart w:id="336" w:name="_Toc232304320"/>
      <w:bookmarkStart w:id="337" w:name="_Toc347134750"/>
      <w:bookmarkStart w:id="338" w:name="_Toc487533683"/>
      <w:bookmarkStart w:id="339" w:name="_Toc12453051"/>
      <w:bookmarkStart w:id="340" w:name="_Toc113544458"/>
      <w:bookmarkStart w:id="341" w:name="_Toc114066760"/>
      <w:bookmarkStart w:id="342" w:name="_Toc116387752"/>
      <w:bookmarkStart w:id="343" w:name="_Toc117603216"/>
      <w:bookmarkEnd w:id="305"/>
      <w:r w:rsidRPr="002E11A8">
        <w:t xml:space="preserve">A11.2 </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0005424C" w:rsidRPr="0005424C">
        <w:t>Régularité des offres</w:t>
      </w:r>
      <w:r w:rsidR="0005424C" w:rsidRPr="0005424C">
        <w:rPr>
          <w:rFonts w:ascii="Times New Roman" w:hAnsi="Times New Roman" w:cs="Times New Roman"/>
        </w:rPr>
        <w:t> </w:t>
      </w:r>
      <w:bookmarkEnd w:id="342"/>
      <w:bookmarkEnd w:id="343"/>
    </w:p>
    <w:p w14:paraId="65F3EDC1" w14:textId="7B7EE4A1" w:rsidR="0005424C" w:rsidRPr="0005424C" w:rsidRDefault="0005424C" w:rsidP="0069058C">
      <w:pPr>
        <w:widowControl w:val="0"/>
        <w:snapToGrid w:val="0"/>
        <w:spacing w:after="120" w:line="240" w:lineRule="auto"/>
        <w:ind w:firstLine="11"/>
        <w:jc w:val="both"/>
        <w:rPr>
          <w:rFonts w:eastAsia="Times New Roman" w:cs="Calibri"/>
          <w:szCs w:val="22"/>
          <w:lang w:val="fr-BE"/>
        </w:rPr>
      </w:pPr>
      <w:r w:rsidRPr="0005424C">
        <w:rPr>
          <w:rFonts w:eastAsia="Times New Roman" w:cs="Calibri"/>
          <w:szCs w:val="22"/>
          <w:lang w:val="fr-BE"/>
        </w:rPr>
        <w:t>Les offres des soumissionnaires sélectionnés seront examinées du point de vue de leur régularité.</w:t>
      </w:r>
      <w:r w:rsidRPr="0005424C">
        <w:rPr>
          <w:rFonts w:ascii="Times New Roman" w:eastAsia="Times New Roman" w:hAnsi="Times New Roman" w:cs="Times New Roman"/>
          <w:szCs w:val="22"/>
          <w:lang w:val="fr-BE"/>
        </w:rPr>
        <w:t> </w:t>
      </w:r>
      <w:r w:rsidRPr="0005424C">
        <w:rPr>
          <w:rFonts w:eastAsia="Times New Roman" w:cs="Calibri"/>
          <w:szCs w:val="22"/>
          <w:lang w:val="fr-BE"/>
        </w:rPr>
        <w:t xml:space="preserve"> Les offres substantiellement irrégulières seront exclues.</w:t>
      </w:r>
      <w:r w:rsidRPr="0005424C">
        <w:rPr>
          <w:rFonts w:ascii="Times New Roman" w:eastAsia="Times New Roman" w:hAnsi="Times New Roman" w:cs="Times New Roman"/>
          <w:szCs w:val="22"/>
          <w:lang w:val="fr-BE"/>
        </w:rPr>
        <w:t> </w:t>
      </w:r>
      <w:r w:rsidRPr="0005424C">
        <w:rPr>
          <w:rFonts w:eastAsia="Times New Roman" w:cs="Calibri"/>
          <w:szCs w:val="22"/>
          <w:lang w:val="fr-BE"/>
        </w:rPr>
        <w:t xml:space="preserve"> </w:t>
      </w:r>
    </w:p>
    <w:p w14:paraId="032780D0" w14:textId="59F4FC2C" w:rsidR="002E11A8" w:rsidRPr="0005424C" w:rsidRDefault="0005424C" w:rsidP="0069058C">
      <w:pPr>
        <w:widowControl w:val="0"/>
        <w:snapToGrid w:val="0"/>
        <w:spacing w:after="120" w:line="240" w:lineRule="auto"/>
        <w:ind w:firstLine="11"/>
        <w:jc w:val="both"/>
        <w:rPr>
          <w:rFonts w:eastAsia="Times New Roman" w:cs="Calibri"/>
          <w:szCs w:val="22"/>
          <w:lang w:val="fr-BE"/>
        </w:rPr>
      </w:pPr>
      <w:r w:rsidRPr="0005424C">
        <w:rPr>
          <w:rFonts w:eastAsia="Times New Roman" w:cs="Calibri"/>
          <w:szCs w:val="22"/>
          <w:lang w:val="fr-BE"/>
        </w:rPr>
        <w:t>Seules les offres régulières seront prises en considération pour être confrontées au(x) critère(s) d’attribution.</w:t>
      </w:r>
    </w:p>
    <w:p w14:paraId="35328820" w14:textId="3B39043D" w:rsidR="009875B8" w:rsidRPr="009875B8" w:rsidRDefault="009875B8" w:rsidP="0005424C">
      <w:pPr>
        <w:pStyle w:val="Vade-mecumtitre2"/>
      </w:pPr>
      <w:bookmarkStart w:id="344" w:name="_Toc486536854"/>
      <w:bookmarkStart w:id="345" w:name="_Toc488155657"/>
      <w:bookmarkStart w:id="346" w:name="_Toc488313263"/>
      <w:bookmarkStart w:id="347" w:name="_Toc12453052"/>
      <w:bookmarkStart w:id="348" w:name="_Toc108509951"/>
      <w:bookmarkStart w:id="349" w:name="_Toc113544459"/>
      <w:bookmarkStart w:id="350" w:name="_Toc114066761"/>
      <w:bookmarkStart w:id="351" w:name="_Toc116387753"/>
      <w:bookmarkStart w:id="352" w:name="_Toc117603217"/>
      <w:r w:rsidRPr="009875B8">
        <w:t xml:space="preserve">A11.3 </w:t>
      </w:r>
      <w:bookmarkEnd w:id="344"/>
      <w:bookmarkEnd w:id="345"/>
      <w:bookmarkEnd w:id="346"/>
      <w:bookmarkEnd w:id="347"/>
      <w:bookmarkEnd w:id="348"/>
      <w:bookmarkEnd w:id="349"/>
      <w:bookmarkEnd w:id="350"/>
      <w:r w:rsidR="0005424C" w:rsidRPr="0005424C">
        <w:t>Critères d’attribution</w:t>
      </w:r>
      <w:bookmarkEnd w:id="351"/>
      <w:bookmarkEnd w:id="352"/>
      <w:r w:rsidR="0005424C" w:rsidRPr="0005424C">
        <w:t> </w:t>
      </w:r>
    </w:p>
    <w:p w14:paraId="467DC22C" w14:textId="77777777" w:rsidR="004444CB" w:rsidRPr="004444CB" w:rsidRDefault="004444CB" w:rsidP="0069058C">
      <w:pPr>
        <w:widowControl w:val="0"/>
        <w:snapToGrid w:val="0"/>
        <w:spacing w:after="120" w:line="240" w:lineRule="auto"/>
        <w:ind w:firstLine="11"/>
        <w:jc w:val="both"/>
        <w:rPr>
          <w:rFonts w:cstheme="minorHAnsi"/>
          <w:szCs w:val="22"/>
          <w:lang w:val="fr-BE"/>
        </w:rPr>
      </w:pPr>
      <w:bookmarkStart w:id="353" w:name="_Toc529699988"/>
      <w:bookmarkStart w:id="354" w:name="_Toc529700604"/>
      <w:bookmarkStart w:id="355" w:name="_Toc529747460"/>
      <w:bookmarkStart w:id="356" w:name="_Toc230704"/>
      <w:bookmarkStart w:id="357" w:name="_Toc230758"/>
      <w:bookmarkStart w:id="358" w:name="_Toc12079553"/>
      <w:bookmarkStart w:id="359" w:name="_Toc12862749"/>
      <w:bookmarkStart w:id="360" w:name="_Toc19591208"/>
      <w:bookmarkStart w:id="361" w:name="_Toc232304324"/>
      <w:bookmarkStart w:id="362" w:name="_Toc347134754"/>
      <w:bookmarkStart w:id="363" w:name="_Toc486524230"/>
      <w:r w:rsidRPr="004444CB">
        <w:rPr>
          <w:rFonts w:cstheme="minorHAnsi"/>
          <w:szCs w:val="22"/>
          <w:lang w:val="fr-BE"/>
        </w:rPr>
        <w:t>Le pouvoir adjudicateur choisira, pour attribuer le présent marché public, l’offre économiquement la plus avantageuse. Les offres régulières des soumissionnaires sélectionnés seront confrontées aux critères d’attribution ci-après.</w:t>
      </w:r>
      <w:r w:rsidRPr="004444CB">
        <w:rPr>
          <w:rFonts w:ascii="Times New Roman" w:hAnsi="Times New Roman" w:cs="Times New Roman"/>
          <w:szCs w:val="22"/>
          <w:lang w:val="fr-BE"/>
        </w:rPr>
        <w:t> </w:t>
      </w:r>
      <w:r w:rsidRPr="004444CB">
        <w:rPr>
          <w:rFonts w:cstheme="minorHAnsi"/>
          <w:szCs w:val="22"/>
          <w:lang w:val="fr-BE"/>
        </w:rPr>
        <w:t xml:space="preserve"> </w:t>
      </w:r>
    </w:p>
    <w:p w14:paraId="425B5A6D" w14:textId="7ADABB10" w:rsidR="004444CB" w:rsidRDefault="004444CB" w:rsidP="0069058C">
      <w:pPr>
        <w:widowControl w:val="0"/>
        <w:snapToGrid w:val="0"/>
        <w:spacing w:after="120" w:line="240" w:lineRule="auto"/>
        <w:ind w:firstLine="11"/>
        <w:jc w:val="both"/>
        <w:rPr>
          <w:rFonts w:cstheme="minorHAnsi"/>
          <w:szCs w:val="22"/>
          <w:lang w:val="fr-BE"/>
        </w:rPr>
      </w:pPr>
      <w:r w:rsidRPr="004444CB">
        <w:rPr>
          <w:rFonts w:cstheme="minorHAnsi"/>
          <w:szCs w:val="22"/>
          <w:lang w:val="fr-BE"/>
        </w:rPr>
        <w:t>Ces critères seront pondérés afin d’obtenir un classement final.</w:t>
      </w:r>
      <w:r w:rsidRPr="004444CB">
        <w:rPr>
          <w:rFonts w:ascii="Times New Roman" w:hAnsi="Times New Roman" w:cs="Times New Roman"/>
          <w:szCs w:val="22"/>
          <w:lang w:val="fr-BE"/>
        </w:rPr>
        <w:t> </w:t>
      </w:r>
      <w:r w:rsidRPr="004444CB">
        <w:rPr>
          <w:rFonts w:cstheme="minorHAnsi"/>
          <w:szCs w:val="22"/>
          <w:lang w:val="fr-BE"/>
        </w:rPr>
        <w:t xml:space="preserve"> </w:t>
      </w:r>
    </w:p>
    <w:p w14:paraId="2F800F91" w14:textId="79F481D5" w:rsidR="004444CB" w:rsidRPr="004444CB" w:rsidRDefault="004444CB" w:rsidP="004444CB">
      <w:pPr>
        <w:widowControl w:val="0"/>
        <w:snapToGrid w:val="0"/>
        <w:spacing w:after="120" w:line="240" w:lineRule="auto"/>
        <w:ind w:firstLine="11"/>
        <w:jc w:val="both"/>
        <w:rPr>
          <w:rFonts w:cstheme="minorHAnsi"/>
          <w:szCs w:val="22"/>
          <w:lang w:val="fr-BE"/>
        </w:rPr>
      </w:pPr>
      <w:r w:rsidRPr="004444CB">
        <w:rPr>
          <w:rFonts w:cstheme="minorHAnsi"/>
          <w:szCs w:val="22"/>
          <w:lang w:val="fr-BE"/>
        </w:rPr>
        <w:t>Les critères d’attribution sont les suivants:</w:t>
      </w:r>
      <w:r w:rsidRPr="004444CB">
        <w:rPr>
          <w:rFonts w:ascii="Times New Roman" w:hAnsi="Times New Roman" w:cs="Times New Roman"/>
          <w:szCs w:val="22"/>
          <w:lang w:val="fr-BE"/>
        </w:rPr>
        <w:t> </w:t>
      </w:r>
    </w:p>
    <w:tbl>
      <w:tblPr>
        <w:tblW w:w="91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1"/>
      </w:tblGrid>
      <w:tr w:rsidR="009875B8" w:rsidRPr="009875B8" w14:paraId="07DB90D1" w14:textId="77777777">
        <w:tc>
          <w:tcPr>
            <w:tcW w:w="9141" w:type="dxa"/>
          </w:tcPr>
          <w:p w14:paraId="40B4A5DB" w14:textId="61F3EE73" w:rsidR="009875B8" w:rsidRPr="00142F56" w:rsidRDefault="004444CB" w:rsidP="009875B8">
            <w:pPr>
              <w:numPr>
                <w:ilvl w:val="0"/>
                <w:numId w:val="35"/>
              </w:numPr>
              <w:snapToGrid w:val="0"/>
              <w:spacing w:before="120" w:after="120" w:line="240" w:lineRule="auto"/>
              <w:ind w:firstLine="11"/>
              <w:jc w:val="both"/>
              <w:rPr>
                <w:rFonts w:cstheme="minorHAnsi"/>
                <w:szCs w:val="22"/>
                <w:lang w:val="nl-NL"/>
              </w:rPr>
            </w:pPr>
            <w:r w:rsidRPr="00142F56">
              <w:rPr>
                <w:rFonts w:cstheme="minorHAnsi"/>
                <w:szCs w:val="22"/>
                <w:lang w:val="nl-NL"/>
              </w:rPr>
              <w:t>offre technique</w:t>
            </w:r>
            <w:r w:rsidR="009875B8" w:rsidRPr="00142F56">
              <w:rPr>
                <w:rFonts w:cstheme="minorHAnsi"/>
                <w:szCs w:val="22"/>
                <w:lang w:val="nl-NL"/>
              </w:rPr>
              <w:t xml:space="preserve"> (70%);</w:t>
            </w:r>
          </w:p>
          <w:p w14:paraId="6D4B968D" w14:textId="49F2E25A" w:rsidR="009875B8" w:rsidRPr="009875B8" w:rsidRDefault="004444CB" w:rsidP="009875B8">
            <w:pPr>
              <w:numPr>
                <w:ilvl w:val="0"/>
                <w:numId w:val="35"/>
              </w:numPr>
              <w:snapToGrid w:val="0"/>
              <w:spacing w:before="120" w:after="120" w:line="240" w:lineRule="auto"/>
              <w:ind w:firstLine="11"/>
              <w:jc w:val="both"/>
              <w:rPr>
                <w:rFonts w:cstheme="minorHAnsi"/>
                <w:szCs w:val="22"/>
                <w:lang w:val="nl-NL"/>
              </w:rPr>
            </w:pPr>
            <w:r w:rsidRPr="00142F56">
              <w:rPr>
                <w:rFonts w:cstheme="minorHAnsi"/>
                <w:szCs w:val="22"/>
                <w:lang w:val="nl-NL"/>
              </w:rPr>
              <w:t>offre financière</w:t>
            </w:r>
            <w:r w:rsidR="009875B8" w:rsidRPr="00142F56">
              <w:rPr>
                <w:rFonts w:cstheme="minorHAnsi"/>
                <w:szCs w:val="22"/>
                <w:lang w:val="nl-NL"/>
              </w:rPr>
              <w:t xml:space="preserve"> (30%).</w:t>
            </w:r>
          </w:p>
        </w:tc>
      </w:tr>
    </w:tbl>
    <w:p w14:paraId="0D4F637E" w14:textId="77777777" w:rsidR="009875B8" w:rsidRPr="009875B8" w:rsidRDefault="009875B8" w:rsidP="009875B8">
      <w:pPr>
        <w:widowControl w:val="0"/>
        <w:snapToGrid w:val="0"/>
        <w:spacing w:after="120" w:line="240" w:lineRule="auto"/>
        <w:ind w:firstLine="11"/>
        <w:jc w:val="both"/>
        <w:rPr>
          <w:rFonts w:cstheme="minorHAnsi"/>
          <w:szCs w:val="22"/>
          <w:lang w:val="nl-NL"/>
        </w:rPr>
      </w:pPr>
    </w:p>
    <w:p w14:paraId="39A889C7" w14:textId="06AC14E7" w:rsidR="009875B8" w:rsidRPr="00142F56" w:rsidRDefault="00E149D0" w:rsidP="009875B8">
      <w:pPr>
        <w:widowControl w:val="0"/>
        <w:snapToGrid w:val="0"/>
        <w:spacing w:after="120" w:line="240" w:lineRule="auto"/>
        <w:ind w:firstLine="11"/>
        <w:jc w:val="both"/>
        <w:rPr>
          <w:rFonts w:cstheme="minorHAnsi"/>
          <w:szCs w:val="22"/>
          <w:lang w:val="fr-BE"/>
        </w:rPr>
      </w:pPr>
      <w:r w:rsidRPr="00142F56">
        <w:rPr>
          <w:rFonts w:cstheme="minorHAnsi"/>
          <w:b/>
          <w:bCs/>
          <w:szCs w:val="22"/>
          <w:lang w:val="fr-BE"/>
        </w:rPr>
        <w:t>Pour la partie technique de l’offre, le soumissionnaire doit obtenir 60% des points relatifs à ce critère</w:t>
      </w:r>
      <w:r w:rsidRPr="00142F56">
        <w:rPr>
          <w:rFonts w:cstheme="minorHAnsi"/>
          <w:szCs w:val="22"/>
          <w:lang w:val="fr-BE"/>
        </w:rPr>
        <w:t>. Sinon, l’offre ne sera pas retenue.</w:t>
      </w:r>
      <w:r w:rsidRPr="00142F56">
        <w:rPr>
          <w:rFonts w:ascii="Times New Roman" w:hAnsi="Times New Roman" w:cs="Times New Roman"/>
          <w:szCs w:val="22"/>
          <w:lang w:val="fr-BE"/>
        </w:rPr>
        <w:t> </w:t>
      </w:r>
    </w:p>
    <w:p w14:paraId="614AFE5E" w14:textId="4D12A7CE" w:rsidR="00E149D0" w:rsidRPr="00142F56" w:rsidRDefault="00E149D0" w:rsidP="00E149D0">
      <w:pPr>
        <w:widowControl w:val="0"/>
        <w:snapToGrid w:val="0"/>
        <w:spacing w:after="120" w:line="240" w:lineRule="auto"/>
        <w:ind w:firstLine="11"/>
        <w:jc w:val="both"/>
        <w:rPr>
          <w:rFonts w:cstheme="minorHAnsi"/>
          <w:szCs w:val="22"/>
          <w:lang w:val="fr-BE"/>
        </w:rPr>
      </w:pPr>
      <w:r w:rsidRPr="00142F56">
        <w:rPr>
          <w:rFonts w:cstheme="minorHAnsi"/>
          <w:szCs w:val="22"/>
          <w:lang w:val="fr-BE"/>
        </w:rPr>
        <w:t>Les cotations pour les deux critères d’attribution seront additionnées. Le marché sera attribué au soumissionnaire qui obtient la cotation finale la plus élevée, après que le pouvoir adjudicateur aura vérifié, à l’égard de ce soumissionnaire</w:t>
      </w:r>
      <w:r w:rsidR="00142F56">
        <w:rPr>
          <w:rFonts w:cstheme="minorHAnsi"/>
          <w:szCs w:val="22"/>
          <w:lang w:val="fr-BE"/>
        </w:rPr>
        <w:t xml:space="preserve"> </w:t>
      </w:r>
      <w:r w:rsidRPr="00142F56">
        <w:rPr>
          <w:rFonts w:cstheme="minorHAnsi"/>
          <w:szCs w:val="22"/>
          <w:lang w:val="fr-BE"/>
        </w:rPr>
        <w:t>l’exactitude de la déclaration faite dans le cadre du DUME, en vérifiant que le soumissionnaire ne se trouve dans aucun des cas d’exclusion et qu’il remplit tous les critères de sélection.</w:t>
      </w:r>
      <w:r w:rsidRPr="00142F56">
        <w:rPr>
          <w:rFonts w:ascii="Times New Roman" w:hAnsi="Times New Roman" w:cs="Times New Roman"/>
          <w:szCs w:val="22"/>
          <w:lang w:val="fr-BE"/>
        </w:rPr>
        <w:t> </w:t>
      </w:r>
      <w:r w:rsidRPr="00142F56">
        <w:rPr>
          <w:rFonts w:cstheme="minorHAnsi"/>
          <w:szCs w:val="22"/>
          <w:lang w:val="fr-BE"/>
        </w:rPr>
        <w:t xml:space="preserve"> </w:t>
      </w:r>
    </w:p>
    <w:p w14:paraId="338B9F5E" w14:textId="150D3863" w:rsidR="00E149D0" w:rsidRPr="00142F56" w:rsidRDefault="00E149D0" w:rsidP="00E149D0">
      <w:pPr>
        <w:widowControl w:val="0"/>
        <w:snapToGrid w:val="0"/>
        <w:spacing w:after="120" w:line="240" w:lineRule="auto"/>
        <w:ind w:firstLine="11"/>
        <w:jc w:val="both"/>
        <w:rPr>
          <w:rFonts w:cstheme="minorHAnsi"/>
          <w:szCs w:val="22"/>
          <w:lang w:val="fr-BE"/>
        </w:rPr>
      </w:pPr>
      <w:r w:rsidRPr="00142F56">
        <w:rPr>
          <w:rFonts w:cstheme="minorHAnsi"/>
          <w:szCs w:val="22"/>
          <w:lang w:val="fr-BE"/>
        </w:rPr>
        <w:t>L’évaluation des critères d’attribution se fera comme suit</w:t>
      </w:r>
      <w:r w:rsidRPr="00142F56">
        <w:rPr>
          <w:rFonts w:ascii="Times New Roman" w:hAnsi="Times New Roman" w:cs="Times New Roman"/>
          <w:szCs w:val="22"/>
          <w:lang w:val="fr-BE"/>
        </w:rPr>
        <w:t> </w:t>
      </w:r>
      <w:r w:rsidRPr="00142F56">
        <w:rPr>
          <w:rFonts w:cstheme="minorHAnsi"/>
          <w:szCs w:val="22"/>
          <w:lang w:val="fr-BE"/>
        </w:rPr>
        <w:t>: (telle que pr</w:t>
      </w:r>
      <w:r w:rsidRPr="00142F56">
        <w:rPr>
          <w:rFonts w:cs="Roboto"/>
          <w:szCs w:val="22"/>
          <w:lang w:val="fr-BE"/>
        </w:rPr>
        <w:t>é</w:t>
      </w:r>
      <w:r w:rsidRPr="00142F56">
        <w:rPr>
          <w:rFonts w:cstheme="minorHAnsi"/>
          <w:szCs w:val="22"/>
          <w:lang w:val="fr-BE"/>
        </w:rPr>
        <w:t>vu et d</w:t>
      </w:r>
      <w:r w:rsidRPr="00142F56">
        <w:rPr>
          <w:rFonts w:cs="Roboto"/>
          <w:szCs w:val="22"/>
          <w:lang w:val="fr-BE"/>
        </w:rPr>
        <w:t>é</w:t>
      </w:r>
      <w:r w:rsidRPr="00142F56">
        <w:rPr>
          <w:rFonts w:cstheme="minorHAnsi"/>
          <w:szCs w:val="22"/>
          <w:lang w:val="fr-BE"/>
        </w:rPr>
        <w:t>taill</w:t>
      </w:r>
      <w:r w:rsidRPr="00142F56">
        <w:rPr>
          <w:rFonts w:cs="Roboto"/>
          <w:szCs w:val="22"/>
          <w:lang w:val="fr-BE"/>
        </w:rPr>
        <w:t>é</w:t>
      </w:r>
      <w:r w:rsidRPr="00142F56">
        <w:rPr>
          <w:rFonts w:cstheme="minorHAnsi"/>
          <w:szCs w:val="22"/>
          <w:lang w:val="fr-BE"/>
        </w:rPr>
        <w:t xml:space="preserve"> sous le point B X de la partie B. Prescriptions techniques) :</w:t>
      </w:r>
      <w:r w:rsidRPr="00142F56">
        <w:rPr>
          <w:rFonts w:ascii="Times New Roman" w:hAnsi="Times New Roman" w:cs="Times New Roman"/>
          <w:szCs w:val="22"/>
          <w:lang w:val="fr-BE"/>
        </w:rPr>
        <w:t>  </w:t>
      </w:r>
    </w:p>
    <w:p w14:paraId="4FF3A228" w14:textId="1C8A337B" w:rsidR="009875B8" w:rsidRPr="00142F56" w:rsidRDefault="00926F25" w:rsidP="009875B8">
      <w:pPr>
        <w:numPr>
          <w:ilvl w:val="0"/>
          <w:numId w:val="34"/>
        </w:numPr>
        <w:pBdr>
          <w:top w:val="nil"/>
          <w:left w:val="nil"/>
          <w:bottom w:val="nil"/>
          <w:right w:val="nil"/>
          <w:between w:val="nil"/>
          <w:bar w:val="nil"/>
        </w:pBdr>
        <w:tabs>
          <w:tab w:val="left" w:pos="5340"/>
        </w:tabs>
        <w:snapToGrid w:val="0"/>
        <w:spacing w:after="120" w:line="240" w:lineRule="auto"/>
        <w:ind w:left="357" w:hanging="357"/>
        <w:jc w:val="both"/>
        <w:rPr>
          <w:rFonts w:cstheme="minorHAnsi"/>
          <w:szCs w:val="22"/>
          <w:lang w:val="fr-BE"/>
        </w:rPr>
      </w:pPr>
      <w:r w:rsidRPr="00142F56">
        <w:rPr>
          <w:lang w:val="fr-BE"/>
        </w:rPr>
        <w:t>Le premier critère d’attribution (appel d’offres technique – 70 %) sera évalué sur base de</w:t>
      </w:r>
      <w:r w:rsidRPr="00142F56">
        <w:rPr>
          <w:rFonts w:ascii="Times New Roman" w:hAnsi="Times New Roman" w:cs="Times New Roman"/>
          <w:lang w:val="fr-BE"/>
        </w:rPr>
        <w:t> </w:t>
      </w:r>
      <w:r w:rsidRPr="00142F56">
        <w:rPr>
          <w:lang w:val="fr-BE"/>
        </w:rPr>
        <w:t>:</w:t>
      </w:r>
      <w:r w:rsidRPr="00142F56">
        <w:rPr>
          <w:rFonts w:ascii="Times New Roman" w:hAnsi="Times New Roman" w:cs="Times New Roman"/>
          <w:lang w:val="fr-BE"/>
        </w:rPr>
        <w:t>   </w:t>
      </w:r>
    </w:p>
    <w:p w14:paraId="28737FB2" w14:textId="4EFB0A82" w:rsidR="003139A7" w:rsidRPr="00142F56" w:rsidRDefault="003139A7" w:rsidP="003139A7">
      <w:pPr>
        <w:numPr>
          <w:ilvl w:val="1"/>
          <w:numId w:val="33"/>
        </w:numPr>
        <w:pBdr>
          <w:top w:val="nil"/>
          <w:left w:val="nil"/>
          <w:bottom w:val="nil"/>
          <w:right w:val="nil"/>
          <w:between w:val="nil"/>
          <w:bar w:val="nil"/>
        </w:pBdr>
        <w:snapToGrid w:val="0"/>
        <w:spacing w:after="120" w:line="240" w:lineRule="auto"/>
        <w:contextualSpacing/>
        <w:jc w:val="both"/>
        <w:rPr>
          <w:lang w:val="fr-BE"/>
        </w:rPr>
      </w:pPr>
      <w:r w:rsidRPr="00142F56">
        <w:rPr>
          <w:lang w:val="fr-BE"/>
        </w:rPr>
        <w:t>la méthodologie proposée, la vision méthodologique et la compréhension des termes de référence (20 %);</w:t>
      </w:r>
    </w:p>
    <w:p w14:paraId="71F6A8E7" w14:textId="7419C455" w:rsidR="003139A7" w:rsidRPr="00142F56" w:rsidRDefault="005F6A2A" w:rsidP="003139A7">
      <w:pPr>
        <w:numPr>
          <w:ilvl w:val="1"/>
          <w:numId w:val="33"/>
        </w:numPr>
        <w:pBdr>
          <w:top w:val="nil"/>
          <w:left w:val="nil"/>
          <w:bottom w:val="nil"/>
          <w:right w:val="nil"/>
          <w:between w:val="nil"/>
          <w:bar w:val="nil"/>
        </w:pBdr>
        <w:snapToGrid w:val="0"/>
        <w:spacing w:after="120" w:line="240" w:lineRule="auto"/>
        <w:contextualSpacing/>
        <w:jc w:val="both"/>
        <w:rPr>
          <w:lang w:val="fr-BE"/>
        </w:rPr>
      </w:pPr>
      <w:r w:rsidRPr="00142F56">
        <w:rPr>
          <w:lang w:val="fr-BE"/>
        </w:rPr>
        <w:t>l’approche pratique de l’évaluation par phase</w:t>
      </w:r>
      <w:r w:rsidR="00C81BF0" w:rsidRPr="00142F56">
        <w:rPr>
          <w:lang w:val="fr-BE"/>
        </w:rPr>
        <w:t>-</w:t>
      </w:r>
      <w:r w:rsidRPr="00142F56">
        <w:rPr>
          <w:lang w:val="fr-BE"/>
        </w:rPr>
        <w:t xml:space="preserve">  et la répartition des tâches </w:t>
      </w:r>
      <w:r w:rsidR="003139A7" w:rsidRPr="00142F56">
        <w:rPr>
          <w:lang w:val="fr-BE"/>
        </w:rPr>
        <w:t>(15 %);</w:t>
      </w:r>
    </w:p>
    <w:p w14:paraId="1EBA8C92" w14:textId="18A14C7A" w:rsidR="003139A7" w:rsidRPr="00142F56" w:rsidRDefault="003139A7" w:rsidP="003139A7">
      <w:pPr>
        <w:numPr>
          <w:ilvl w:val="1"/>
          <w:numId w:val="33"/>
        </w:numPr>
        <w:pBdr>
          <w:top w:val="nil"/>
          <w:left w:val="nil"/>
          <w:bottom w:val="nil"/>
          <w:right w:val="nil"/>
          <w:between w:val="nil"/>
          <w:bar w:val="nil"/>
        </w:pBdr>
        <w:snapToGrid w:val="0"/>
        <w:spacing w:after="120" w:line="240" w:lineRule="auto"/>
        <w:contextualSpacing/>
        <w:jc w:val="both"/>
        <w:rPr>
          <w:lang w:val="fr-BE"/>
        </w:rPr>
      </w:pPr>
      <w:r w:rsidRPr="00142F56">
        <w:rPr>
          <w:lang w:val="fr-BE"/>
        </w:rPr>
        <w:t>l’expertise et l’expérience du chef d’équipe (</w:t>
      </w:r>
      <w:r w:rsidR="00A53CCD" w:rsidRPr="00142F56">
        <w:rPr>
          <w:lang w:val="fr-BE"/>
        </w:rPr>
        <w:t>15</w:t>
      </w:r>
      <w:r w:rsidRPr="00142F56">
        <w:rPr>
          <w:lang w:val="fr-BE"/>
        </w:rPr>
        <w:t xml:space="preserve"> %);</w:t>
      </w:r>
    </w:p>
    <w:p w14:paraId="58AF7240" w14:textId="6047682D" w:rsidR="0006618F" w:rsidRPr="00142F56" w:rsidRDefault="003139A7" w:rsidP="003139A7">
      <w:pPr>
        <w:numPr>
          <w:ilvl w:val="1"/>
          <w:numId w:val="33"/>
        </w:numPr>
        <w:pBdr>
          <w:top w:val="nil"/>
          <w:left w:val="nil"/>
          <w:bottom w:val="nil"/>
          <w:right w:val="nil"/>
          <w:between w:val="nil"/>
          <w:bar w:val="nil"/>
        </w:pBdr>
        <w:snapToGrid w:val="0"/>
        <w:spacing w:after="120" w:line="240" w:lineRule="auto"/>
        <w:contextualSpacing/>
        <w:jc w:val="both"/>
        <w:rPr>
          <w:lang w:val="fr-BE"/>
        </w:rPr>
      </w:pPr>
      <w:r w:rsidRPr="00142F56">
        <w:rPr>
          <w:lang w:val="fr-BE"/>
        </w:rPr>
        <w:t>l’expertise et l’expérience des membres de l’équipe (</w:t>
      </w:r>
      <w:r w:rsidR="00A53CCD" w:rsidRPr="00142F56">
        <w:rPr>
          <w:lang w:val="fr-BE"/>
        </w:rPr>
        <w:t>20</w:t>
      </w:r>
      <w:r w:rsidRPr="00142F56">
        <w:rPr>
          <w:lang w:val="fr-BE"/>
        </w:rPr>
        <w:t xml:space="preserve"> %)</w:t>
      </w:r>
      <w:r w:rsidR="00BC65A7">
        <w:rPr>
          <w:lang w:val="fr-BE"/>
        </w:rPr>
        <w:t> :</w:t>
      </w:r>
      <w:r w:rsidR="00036D38">
        <w:rPr>
          <w:lang w:val="fr-BE"/>
        </w:rPr>
        <w:t xml:space="preserve"> </w:t>
      </w:r>
      <w:r w:rsidR="0081068C">
        <w:rPr>
          <w:lang w:val="fr-BE"/>
        </w:rPr>
        <w:t>E</w:t>
      </w:r>
      <w:r w:rsidR="0081068C" w:rsidRPr="0081068C">
        <w:rPr>
          <w:lang w:val="fr-BE"/>
        </w:rPr>
        <w:t>xperts internationaux et locaux.</w:t>
      </w:r>
    </w:p>
    <w:p w14:paraId="67926DBD" w14:textId="77777777" w:rsidR="005F6A2A" w:rsidRPr="00AB1AF0" w:rsidRDefault="005F6A2A" w:rsidP="005F6A2A">
      <w:pPr>
        <w:pBdr>
          <w:top w:val="nil"/>
          <w:left w:val="nil"/>
          <w:bottom w:val="nil"/>
          <w:right w:val="nil"/>
          <w:between w:val="nil"/>
          <w:bar w:val="nil"/>
        </w:pBdr>
        <w:snapToGrid w:val="0"/>
        <w:spacing w:after="120" w:line="240" w:lineRule="auto"/>
        <w:contextualSpacing/>
        <w:jc w:val="both"/>
        <w:rPr>
          <w:highlight w:val="lightGray"/>
          <w:lang w:val="fr-BE"/>
        </w:rPr>
      </w:pPr>
    </w:p>
    <w:p w14:paraId="401B743D" w14:textId="479A35C2" w:rsidR="009875B8" w:rsidRPr="00AB1AF0" w:rsidRDefault="00AB1AF0" w:rsidP="009875B8">
      <w:pPr>
        <w:numPr>
          <w:ilvl w:val="0"/>
          <w:numId w:val="34"/>
        </w:numPr>
        <w:pBdr>
          <w:top w:val="nil"/>
          <w:left w:val="nil"/>
          <w:bottom w:val="nil"/>
          <w:right w:val="nil"/>
          <w:between w:val="nil"/>
          <w:bar w:val="nil"/>
        </w:pBdr>
        <w:tabs>
          <w:tab w:val="left" w:pos="5340"/>
        </w:tabs>
        <w:snapToGrid w:val="0"/>
        <w:spacing w:before="120" w:after="120" w:line="240" w:lineRule="auto"/>
        <w:ind w:left="357" w:hanging="357"/>
        <w:jc w:val="both"/>
        <w:rPr>
          <w:rFonts w:cstheme="minorHAnsi"/>
          <w:szCs w:val="22"/>
          <w:lang w:val="fr-BE"/>
        </w:rPr>
      </w:pPr>
      <w:r w:rsidRPr="3586E409">
        <w:rPr>
          <w:lang w:val="fr-BE"/>
        </w:rPr>
        <w:t>Le second critère d’attribution (offre financière – 30%) sera évalué sur base du prix fixe global (30%): la note (NPX) pour le prix d’une offre X sera calculée comme suit: NPX = 30 x (prix de l’offre la plus basse) / (prix de l’offre X).</w:t>
      </w:r>
      <w:r w:rsidRPr="3586E409">
        <w:rPr>
          <w:rFonts w:ascii="Times New Roman" w:hAnsi="Times New Roman" w:cs="Times New Roman"/>
          <w:lang w:val="fr-BE"/>
        </w:rPr>
        <w:t> </w:t>
      </w:r>
    </w:p>
    <w:p w14:paraId="784717E1" w14:textId="4CF15573" w:rsidR="009875B8" w:rsidRPr="00D56FCB" w:rsidRDefault="009875B8" w:rsidP="0032340C">
      <w:pPr>
        <w:pStyle w:val="Vade-mecumtitre1"/>
        <w:numPr>
          <w:ilvl w:val="0"/>
          <w:numId w:val="0"/>
        </w:numPr>
        <w:ind w:left="432" w:hanging="432"/>
        <w:rPr>
          <w:lang w:val="fr-BE"/>
        </w:rPr>
      </w:pPr>
      <w:bookmarkStart w:id="364" w:name="_Toc487533685"/>
      <w:bookmarkStart w:id="365" w:name="_Toc12453053"/>
      <w:bookmarkStart w:id="366" w:name="_Toc77719404"/>
      <w:bookmarkStart w:id="367" w:name="_Toc108509952"/>
      <w:bookmarkStart w:id="368" w:name="_Toc117603218"/>
      <w:r w:rsidRPr="00D56FCB">
        <w:rPr>
          <w:lang w:val="fr-BE"/>
        </w:rPr>
        <w:t xml:space="preserve">A12. </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006755E5" w:rsidRPr="00D56FCB">
        <w:rPr>
          <w:lang w:val="fr-BE"/>
        </w:rPr>
        <w:t>Cautionnement</w:t>
      </w:r>
      <w:bookmarkEnd w:id="368"/>
    </w:p>
    <w:p w14:paraId="7847FEE5" w14:textId="470C7251" w:rsidR="00D56FCB" w:rsidRPr="00D56FCB" w:rsidRDefault="00D56FCB" w:rsidP="00D56FCB">
      <w:pPr>
        <w:pStyle w:val="Vade-Mecum0"/>
        <w:spacing w:line="240" w:lineRule="auto"/>
        <w:jc w:val="both"/>
      </w:pPr>
      <w:bookmarkStart w:id="369" w:name="_Toc113544081"/>
      <w:r w:rsidRPr="00D56FCB">
        <w:t>Le cautionnement est fixé à 5 % du montant total, hors TVA, du marché. Le montant ainsi obtenu est arrondi à la dizaine d’euro supérieure.</w:t>
      </w:r>
      <w:r w:rsidRPr="00D56FCB">
        <w:rPr>
          <w:rFonts w:ascii="Times New Roman" w:hAnsi="Times New Roman" w:cs="Times New Roman"/>
        </w:rPr>
        <w:t> </w:t>
      </w:r>
      <w:r w:rsidRPr="00D56FCB">
        <w:t xml:space="preserve"> </w:t>
      </w:r>
    </w:p>
    <w:p w14:paraId="1A590FB3" w14:textId="2430A419" w:rsidR="00D56FCB" w:rsidRPr="00D56FCB" w:rsidRDefault="00D56FCB" w:rsidP="00D56FCB">
      <w:pPr>
        <w:pStyle w:val="Vade-Mecum0"/>
        <w:spacing w:line="240" w:lineRule="auto"/>
        <w:jc w:val="both"/>
      </w:pPr>
      <w:r w:rsidRPr="00D56FCB">
        <w:t>Le cautionnement peut être constitué conformément aux dispositions légales et réglementaires, soit en numéraire, ou en fonds publics, soit sous forme de cautionnement collectif.</w:t>
      </w:r>
      <w:r w:rsidRPr="00D56FCB">
        <w:rPr>
          <w:rFonts w:ascii="Times New Roman" w:hAnsi="Times New Roman" w:cs="Times New Roman"/>
        </w:rPr>
        <w:t> </w:t>
      </w:r>
      <w:r w:rsidRPr="00D56FCB">
        <w:t xml:space="preserve"> </w:t>
      </w:r>
    </w:p>
    <w:p w14:paraId="2EA898E3" w14:textId="77777777" w:rsidR="00D56FCB" w:rsidRDefault="00D56FCB" w:rsidP="00D56FCB">
      <w:pPr>
        <w:pStyle w:val="Vade-Mecum0"/>
        <w:spacing w:line="240" w:lineRule="auto"/>
        <w:jc w:val="both"/>
      </w:pPr>
      <w:r w:rsidRPr="00D56FCB">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r w:rsidRPr="00D56FCB">
        <w:rPr>
          <w:rFonts w:ascii="Times New Roman" w:hAnsi="Times New Roman" w:cs="Times New Roman"/>
        </w:rPr>
        <w:t> </w:t>
      </w:r>
      <w:r w:rsidRPr="00D56FCB">
        <w:t xml:space="preserve"> </w:t>
      </w:r>
    </w:p>
    <w:bookmarkEnd w:id="369"/>
    <w:p w14:paraId="70127DE1" w14:textId="417FB8CE" w:rsidR="00D56FCB" w:rsidRPr="00D56FCB" w:rsidRDefault="00D56FCB" w:rsidP="00D56FCB">
      <w:pPr>
        <w:pStyle w:val="Vade-Mecum0"/>
        <w:spacing w:line="240" w:lineRule="auto"/>
        <w:jc w:val="both"/>
      </w:pPr>
      <w:r w:rsidRPr="00D56FCB">
        <w:t xml:space="preserve">L’adjudicataire doit, dans </w:t>
      </w:r>
      <w:r w:rsidRPr="00D56FCB">
        <w:rPr>
          <w:b/>
          <w:bCs/>
        </w:rPr>
        <w:t>les trente jours de calendrier suivant le jour de la conclusion du marché</w:t>
      </w:r>
      <w:r w:rsidRPr="00D56FCB">
        <w:t>, justifier la constitution du cautionnement par lui-même ou par un tiers, de l’une des façons suivantes</w:t>
      </w:r>
      <w:r w:rsidR="0069058C">
        <w:t xml:space="preserve"> </w:t>
      </w:r>
      <w:r w:rsidRPr="00D56FCB">
        <w:t>:</w:t>
      </w:r>
      <w:r w:rsidRPr="00D56FCB">
        <w:rPr>
          <w:rFonts w:ascii="Times New Roman" w:hAnsi="Times New Roman" w:cs="Times New Roman"/>
        </w:rPr>
        <w:t> </w:t>
      </w:r>
    </w:p>
    <w:p w14:paraId="63B98B8F" w14:textId="5D9E54A0" w:rsidR="007D6150" w:rsidRPr="007D6150" w:rsidRDefault="007D6150" w:rsidP="0069058C">
      <w:pPr>
        <w:pStyle w:val="Vade-Mecum0"/>
        <w:spacing w:line="240" w:lineRule="auto"/>
        <w:jc w:val="both"/>
      </w:pPr>
      <w:r w:rsidRPr="007D6150">
        <w:t xml:space="preserve">1° </w:t>
      </w:r>
      <w:r w:rsidRPr="007D6150">
        <w:tab/>
        <w:t>lorsqu’il s’agit de numéraire, par le virement du montant au numéro de compte de la Caisse des Dépôts et Consignations [compte bpost banque n° BE58 6792 0040 9979 (IBAN), PCHQBEBB (BIC)] ou d’un organisme public remplissant une fonction similaire à celle de ladite Caisse, ci-après dénommé organisme public remplissant une fonction similaire</w:t>
      </w:r>
      <w:r w:rsidR="0069058C">
        <w:t xml:space="preserve"> </w:t>
      </w:r>
      <w:r w:rsidRPr="007D6150">
        <w:t>;</w:t>
      </w:r>
      <w:r w:rsidRPr="007D6150">
        <w:rPr>
          <w:rFonts w:ascii="Times New Roman" w:hAnsi="Times New Roman" w:cs="Times New Roman"/>
        </w:rPr>
        <w:t> </w:t>
      </w:r>
      <w:r w:rsidRPr="007D6150">
        <w:t> </w:t>
      </w:r>
    </w:p>
    <w:p w14:paraId="602BE79B" w14:textId="78A14649" w:rsidR="007D6150" w:rsidRPr="007D6150" w:rsidRDefault="007D6150" w:rsidP="0069058C">
      <w:pPr>
        <w:pStyle w:val="Vade-Mecum0"/>
        <w:spacing w:line="240" w:lineRule="auto"/>
        <w:jc w:val="both"/>
      </w:pPr>
      <w:r w:rsidRPr="007D6150">
        <w:t xml:space="preserve">2° </w:t>
      </w:r>
      <w:r w:rsidRPr="007D6150">
        <w:tab/>
        <w:t>lorsqu’il s’agit de fonds publics, par le dépôt de ceux-ci entre les mains du caissier de l’État au siège de la Banque nationale à Bruxelles ou dans l’une de ses agences en province, pour compte de la Caisse des Dépôts et Consignations, ou d’un organisme public remplissant une fonction similaire</w:t>
      </w:r>
      <w:r w:rsidR="0069058C">
        <w:t xml:space="preserve"> </w:t>
      </w:r>
      <w:r w:rsidRPr="007D6150">
        <w:t>;</w:t>
      </w:r>
      <w:r w:rsidRPr="007D6150">
        <w:rPr>
          <w:rFonts w:ascii="Times New Roman" w:hAnsi="Times New Roman" w:cs="Times New Roman"/>
        </w:rPr>
        <w:t> </w:t>
      </w:r>
      <w:r w:rsidRPr="007D6150">
        <w:t> </w:t>
      </w:r>
    </w:p>
    <w:p w14:paraId="0F610C6A" w14:textId="55DE3D33" w:rsidR="007D6150" w:rsidRPr="007D6150" w:rsidRDefault="007D6150" w:rsidP="0069058C">
      <w:pPr>
        <w:pStyle w:val="Vade-Mecum0"/>
        <w:spacing w:line="240" w:lineRule="auto"/>
        <w:jc w:val="both"/>
      </w:pPr>
      <w:r w:rsidRPr="007D6150">
        <w:t>3°</w:t>
      </w:r>
      <w:r w:rsidRPr="007D6150">
        <w:tab/>
        <w:t>lorsqu’il s’agit d’un cautionnement collectif, par le dépôt par une société exerçant légalement cette activité, d’un acte de caution solidaire auprès de la Caisse des Dépôts et Consignations ou d’un organisme public remplissant une fonction similaire</w:t>
      </w:r>
      <w:r w:rsidR="0069058C">
        <w:t xml:space="preserve"> </w:t>
      </w:r>
      <w:r w:rsidRPr="007D6150">
        <w:t>;</w:t>
      </w:r>
      <w:r w:rsidRPr="007D6150">
        <w:rPr>
          <w:rFonts w:ascii="Times New Roman" w:hAnsi="Times New Roman" w:cs="Times New Roman"/>
        </w:rPr>
        <w:t> </w:t>
      </w:r>
      <w:r w:rsidRPr="007D6150">
        <w:t> </w:t>
      </w:r>
    </w:p>
    <w:p w14:paraId="1925EF97" w14:textId="77777777" w:rsidR="007D6150" w:rsidRPr="007D6150" w:rsidRDefault="007D6150" w:rsidP="0069058C">
      <w:pPr>
        <w:pStyle w:val="Vade-Mecum0"/>
        <w:spacing w:line="240" w:lineRule="auto"/>
        <w:jc w:val="both"/>
      </w:pPr>
      <w:r w:rsidRPr="007D6150">
        <w:t>4°</w:t>
      </w:r>
      <w:r w:rsidRPr="007D6150">
        <w:tab/>
        <w:t>lorsqu’il s’agit d’une garantie, par l’acte d’engagement de l’établissement de crédit ou de l’entreprise d’assurances.</w:t>
      </w:r>
      <w:r w:rsidRPr="007D6150">
        <w:rPr>
          <w:rFonts w:ascii="Times New Roman" w:hAnsi="Times New Roman" w:cs="Times New Roman"/>
        </w:rPr>
        <w:t> </w:t>
      </w:r>
      <w:r w:rsidRPr="007D6150">
        <w:t> </w:t>
      </w:r>
    </w:p>
    <w:p w14:paraId="5F65265B" w14:textId="77777777" w:rsidR="007D6150" w:rsidRPr="007D6150" w:rsidRDefault="007D6150" w:rsidP="007D6150">
      <w:pPr>
        <w:pStyle w:val="Vade-Mecum0"/>
      </w:pPr>
      <w:r w:rsidRPr="007D6150">
        <w:t>Cette justification se donne, selon le cas, par la production au pouvoir adjudicateur:</w:t>
      </w:r>
      <w:r w:rsidRPr="007D6150">
        <w:rPr>
          <w:rFonts w:ascii="Times New Roman" w:hAnsi="Times New Roman" w:cs="Times New Roman"/>
        </w:rPr>
        <w:t> </w:t>
      </w:r>
      <w:r w:rsidRPr="007D6150">
        <w:t> </w:t>
      </w:r>
    </w:p>
    <w:p w14:paraId="467D5B3B" w14:textId="5A5065E6" w:rsidR="007D6150" w:rsidRPr="007D6150" w:rsidRDefault="007D6150" w:rsidP="0069058C">
      <w:pPr>
        <w:pStyle w:val="Vade-Mecum0"/>
        <w:spacing w:line="240" w:lineRule="auto"/>
        <w:jc w:val="both"/>
      </w:pPr>
      <w:r w:rsidRPr="007D6150">
        <w:t>1°</w:t>
      </w:r>
      <w:r w:rsidRPr="007D6150">
        <w:tab/>
        <w:t>soit du récépissé de dépôt de la Caisse des Dépôts et Consignations ou d’un organisme public remplissant une fonction similaire</w:t>
      </w:r>
      <w:r w:rsidR="0069058C">
        <w:t xml:space="preserve"> </w:t>
      </w:r>
      <w:r w:rsidRPr="007D6150">
        <w:t>;</w:t>
      </w:r>
      <w:r w:rsidRPr="007D6150">
        <w:rPr>
          <w:rFonts w:ascii="Times New Roman" w:hAnsi="Times New Roman" w:cs="Times New Roman"/>
        </w:rPr>
        <w:t> </w:t>
      </w:r>
      <w:r w:rsidRPr="007D6150">
        <w:t> </w:t>
      </w:r>
    </w:p>
    <w:p w14:paraId="5221CF08" w14:textId="60032B14" w:rsidR="007D6150" w:rsidRPr="007D6150" w:rsidRDefault="007D6150" w:rsidP="0069058C">
      <w:pPr>
        <w:pStyle w:val="Vade-Mecum0"/>
        <w:spacing w:line="240" w:lineRule="auto"/>
        <w:jc w:val="both"/>
      </w:pPr>
      <w:r w:rsidRPr="007D6150">
        <w:t>2°</w:t>
      </w:r>
      <w:r w:rsidRPr="007D6150">
        <w:tab/>
        <w:t>soit d’un avis de débit remis par l’établissement de crédit ou l’entreprise d’assurances</w:t>
      </w:r>
      <w:r w:rsidR="0069058C">
        <w:t> ;</w:t>
      </w:r>
      <w:r w:rsidRPr="007D6150">
        <w:rPr>
          <w:rFonts w:ascii="Times New Roman" w:hAnsi="Times New Roman" w:cs="Times New Roman"/>
        </w:rPr>
        <w:t> </w:t>
      </w:r>
      <w:r w:rsidRPr="007D6150">
        <w:t> </w:t>
      </w:r>
    </w:p>
    <w:p w14:paraId="7610559F" w14:textId="6EC8B575" w:rsidR="007D6150" w:rsidRPr="007D6150" w:rsidRDefault="007D6150" w:rsidP="0069058C">
      <w:pPr>
        <w:pStyle w:val="Vade-Mecum0"/>
        <w:spacing w:line="240" w:lineRule="auto"/>
        <w:jc w:val="both"/>
      </w:pPr>
      <w:r w:rsidRPr="007D6150">
        <w:t>3°</w:t>
      </w:r>
      <w:r w:rsidRPr="007D6150">
        <w:tab/>
        <w:t>soit de la reconnaissance de dépôt délivrée par le caissier de l’État ou par un organisme public remplissant une fonction similaire</w:t>
      </w:r>
      <w:r w:rsidR="0069058C">
        <w:t xml:space="preserve"> </w:t>
      </w:r>
      <w:r w:rsidRPr="007D6150">
        <w:t>;</w:t>
      </w:r>
      <w:r w:rsidRPr="007D6150">
        <w:rPr>
          <w:rFonts w:ascii="Times New Roman" w:hAnsi="Times New Roman" w:cs="Times New Roman"/>
        </w:rPr>
        <w:t> </w:t>
      </w:r>
      <w:r w:rsidRPr="007D6150">
        <w:t> </w:t>
      </w:r>
    </w:p>
    <w:p w14:paraId="6BB1AE4B" w14:textId="197436D7" w:rsidR="007D6150" w:rsidRPr="007D6150" w:rsidRDefault="007D6150" w:rsidP="0069058C">
      <w:pPr>
        <w:pStyle w:val="Vade-Mecum0"/>
        <w:spacing w:line="240" w:lineRule="auto"/>
        <w:jc w:val="both"/>
      </w:pPr>
      <w:r w:rsidRPr="007D6150">
        <w:t>4°</w:t>
      </w:r>
      <w:r w:rsidRPr="007D6150">
        <w:tab/>
        <w:t>soit de l’original de l’acte de caution solidaire visé par la Caisse des Dépôts et Consignations ou par un organisme public remplissant une fonction similaire</w:t>
      </w:r>
      <w:r w:rsidR="0069058C">
        <w:t xml:space="preserve"> </w:t>
      </w:r>
      <w:r w:rsidRPr="007D6150">
        <w:t>;</w:t>
      </w:r>
      <w:r w:rsidRPr="007D6150">
        <w:rPr>
          <w:rFonts w:ascii="Times New Roman" w:hAnsi="Times New Roman" w:cs="Times New Roman"/>
        </w:rPr>
        <w:t> </w:t>
      </w:r>
      <w:r w:rsidRPr="007D6150">
        <w:t> </w:t>
      </w:r>
    </w:p>
    <w:p w14:paraId="1A786511" w14:textId="77777777" w:rsidR="007D6150" w:rsidRPr="007D6150" w:rsidRDefault="007D6150" w:rsidP="0069058C">
      <w:pPr>
        <w:pStyle w:val="Vade-Mecum0"/>
        <w:spacing w:line="240" w:lineRule="auto"/>
        <w:jc w:val="both"/>
      </w:pPr>
      <w:r w:rsidRPr="007D6150">
        <w:t>5°</w:t>
      </w:r>
      <w:r w:rsidRPr="007D6150">
        <w:tab/>
        <w:t>soit de l’original de l’acte d’engagement établi par l’établissement de crédit ou l’entreprise d’assurances accordant une garantie.</w:t>
      </w:r>
      <w:r w:rsidRPr="007D6150">
        <w:rPr>
          <w:rFonts w:ascii="Times New Roman" w:hAnsi="Times New Roman" w:cs="Times New Roman"/>
        </w:rPr>
        <w:t> </w:t>
      </w:r>
      <w:r w:rsidRPr="007D6150">
        <w:t> </w:t>
      </w:r>
    </w:p>
    <w:p w14:paraId="53912A87" w14:textId="77777777" w:rsidR="007D2D5D" w:rsidRPr="007D2D5D" w:rsidRDefault="007D2D5D" w:rsidP="007D2D5D">
      <w:pPr>
        <w:pStyle w:val="Vade-Mecum0"/>
        <w:spacing w:line="240" w:lineRule="auto"/>
        <w:jc w:val="both"/>
      </w:pPr>
      <w:r w:rsidRPr="007D2D5D">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ou “mandataire”, suivant le cas.</w:t>
      </w:r>
      <w:r w:rsidRPr="007D2D5D">
        <w:rPr>
          <w:rFonts w:ascii="Times New Roman" w:hAnsi="Times New Roman" w:cs="Times New Roman"/>
        </w:rPr>
        <w:t> </w:t>
      </w:r>
      <w:r w:rsidRPr="007D2D5D">
        <w:t xml:space="preserve"> </w:t>
      </w:r>
    </w:p>
    <w:p w14:paraId="7DE7B09D" w14:textId="77777777" w:rsidR="007D2D5D" w:rsidRPr="007D2D5D" w:rsidRDefault="007D2D5D" w:rsidP="007D2D5D">
      <w:pPr>
        <w:pStyle w:val="Vade-Mecum0"/>
        <w:spacing w:line="240" w:lineRule="auto"/>
        <w:jc w:val="both"/>
      </w:pPr>
      <w:r w:rsidRPr="007D2D5D">
        <w:t>Le délai de trente jours de calendrier visé ci-avant est suspendu pendant la période de fermeture de l’entreprise de l’adjudicataire pour les jours de vacances annuelles payées et les jours de repos compensatoire prévus par voie réglementaire ou dans une convention collective de travail rendue obligatoire.</w:t>
      </w:r>
      <w:r w:rsidRPr="007D2D5D">
        <w:rPr>
          <w:rFonts w:ascii="Times New Roman" w:hAnsi="Times New Roman" w:cs="Times New Roman"/>
        </w:rPr>
        <w:t> </w:t>
      </w:r>
      <w:r w:rsidRPr="007D2D5D">
        <w:t xml:space="preserve"> </w:t>
      </w:r>
    </w:p>
    <w:p w14:paraId="1D43B08F" w14:textId="77777777" w:rsidR="007D2D5D" w:rsidRPr="007D2D5D" w:rsidRDefault="007D2D5D" w:rsidP="007D2D5D">
      <w:pPr>
        <w:pStyle w:val="Vade-Mecum0"/>
        <w:spacing w:line="240" w:lineRule="auto"/>
        <w:jc w:val="both"/>
      </w:pPr>
      <w:r w:rsidRPr="007D2D5D">
        <w:t>La preuve de la constitution du cautionnement doit être envoyée à l’adresse qui sera mentionnée dans la notification de la conclusion du marché.</w:t>
      </w:r>
      <w:r w:rsidRPr="007D2D5D">
        <w:rPr>
          <w:rFonts w:ascii="Times New Roman" w:hAnsi="Times New Roman" w:cs="Times New Roman"/>
        </w:rPr>
        <w:t> </w:t>
      </w:r>
      <w:r w:rsidRPr="007D2D5D">
        <w:t xml:space="preserve"> </w:t>
      </w:r>
    </w:p>
    <w:p w14:paraId="0D105B97" w14:textId="0F5D75EC" w:rsidR="007D2D5D" w:rsidRPr="007D2D5D" w:rsidRDefault="007D2D5D" w:rsidP="007D2D5D">
      <w:pPr>
        <w:pStyle w:val="Vade-Mecum0"/>
        <w:spacing w:line="240" w:lineRule="auto"/>
        <w:jc w:val="both"/>
      </w:pPr>
      <w:r w:rsidRPr="007D2D5D">
        <w:t>Le cautionnement est libéré immédiatement après la réception définitive</w:t>
      </w:r>
      <w:r w:rsidRPr="007D2D5D">
        <w:rPr>
          <w:rFonts w:ascii="Times New Roman" w:hAnsi="Times New Roman" w:cs="Times New Roman"/>
        </w:rPr>
        <w:t> </w:t>
      </w:r>
      <w:r w:rsidRPr="007D2D5D">
        <w:t xml:space="preserve"> et l</w:t>
      </w:r>
      <w:r w:rsidRPr="007D2D5D">
        <w:rPr>
          <w:rFonts w:cs="Roboto"/>
        </w:rPr>
        <w:t>’</w:t>
      </w:r>
      <w:r w:rsidRPr="007D2D5D">
        <w:t>acceptation de tous les services effectu</w:t>
      </w:r>
      <w:r w:rsidRPr="007D2D5D">
        <w:rPr>
          <w:rFonts w:cs="Roboto"/>
        </w:rPr>
        <w:t>é</w:t>
      </w:r>
      <w:r w:rsidRPr="007D2D5D">
        <w:t>s sur la base de ce cahier des charges et d</w:t>
      </w:r>
      <w:r w:rsidRPr="007D2D5D">
        <w:rPr>
          <w:rFonts w:cs="Roboto"/>
        </w:rPr>
        <w:t>’</w:t>
      </w:r>
      <w:r w:rsidRPr="007D2D5D">
        <w:t>autres documents contractuels.</w:t>
      </w:r>
      <w:r w:rsidRPr="007D2D5D">
        <w:rPr>
          <w:rFonts w:ascii="Times New Roman" w:hAnsi="Times New Roman" w:cs="Times New Roman"/>
        </w:rPr>
        <w:t> </w:t>
      </w:r>
    </w:p>
    <w:p w14:paraId="00A667B7" w14:textId="05EBF48A" w:rsidR="009875B8" w:rsidRPr="00201E1C" w:rsidRDefault="009875B8" w:rsidP="0032340C">
      <w:pPr>
        <w:pStyle w:val="Vade-mecumtitre1"/>
        <w:numPr>
          <w:ilvl w:val="0"/>
          <w:numId w:val="0"/>
        </w:numPr>
        <w:ind w:left="432" w:hanging="432"/>
        <w:rPr>
          <w:lang w:val="fr-BE"/>
        </w:rPr>
      </w:pPr>
      <w:bookmarkStart w:id="370" w:name="_Toc3886182"/>
      <w:bookmarkStart w:id="371" w:name="_Toc486513985"/>
      <w:bookmarkStart w:id="372" w:name="_Toc1985163"/>
      <w:bookmarkStart w:id="373" w:name="_Toc12453054"/>
      <w:bookmarkStart w:id="374" w:name="_Toc77719405"/>
      <w:bookmarkStart w:id="375" w:name="_Toc108509953"/>
      <w:bookmarkStart w:id="376" w:name="_Toc117603219"/>
      <w:r w:rsidRPr="00201E1C">
        <w:rPr>
          <w:lang w:val="fr-BE"/>
        </w:rPr>
        <w:t xml:space="preserve">A13. </w:t>
      </w:r>
      <w:bookmarkEnd w:id="370"/>
      <w:bookmarkEnd w:id="371"/>
      <w:bookmarkEnd w:id="372"/>
      <w:bookmarkEnd w:id="373"/>
      <w:bookmarkEnd w:id="374"/>
      <w:bookmarkEnd w:id="375"/>
      <w:r w:rsidR="00201E1C" w:rsidRPr="00201E1C">
        <w:rPr>
          <w:lang w:val="fr-BE"/>
        </w:rPr>
        <w:t>Modification en cours d’exécution</w:t>
      </w:r>
      <w:r w:rsidR="00201E1C" w:rsidRPr="00201E1C">
        <w:rPr>
          <w:rFonts w:ascii="Times New Roman" w:hAnsi="Times New Roman" w:cs="Times New Roman"/>
          <w:lang w:val="fr-BE"/>
        </w:rPr>
        <w:t> </w:t>
      </w:r>
      <w:r w:rsidR="00201E1C" w:rsidRPr="00201E1C">
        <w:rPr>
          <w:lang w:val="fr-BE"/>
        </w:rPr>
        <w:t xml:space="preserve"> du march</w:t>
      </w:r>
      <w:r w:rsidR="00201E1C" w:rsidRPr="00201E1C">
        <w:rPr>
          <w:rFonts w:cs="Lora"/>
          <w:lang w:val="fr-BE"/>
        </w:rPr>
        <w:t>é</w:t>
      </w:r>
      <w:r w:rsidR="00201E1C" w:rsidRPr="00201E1C">
        <w:rPr>
          <w:rFonts w:ascii="Times New Roman" w:hAnsi="Times New Roman" w:cs="Times New Roman"/>
          <w:lang w:val="fr-BE"/>
        </w:rPr>
        <w:t> </w:t>
      </w:r>
      <w:bookmarkEnd w:id="376"/>
    </w:p>
    <w:p w14:paraId="11EFB6C1" w14:textId="538D5783" w:rsidR="0032340C" w:rsidRPr="00201E1C" w:rsidRDefault="00201E1C" w:rsidP="0032340C">
      <w:pPr>
        <w:spacing w:before="200" w:line="240" w:lineRule="auto"/>
        <w:jc w:val="both"/>
        <w:rPr>
          <w:szCs w:val="22"/>
          <w:lang w:val="fr-BE"/>
        </w:rPr>
      </w:pPr>
      <w:bookmarkStart w:id="377" w:name="_Toc3886184"/>
      <w:bookmarkStart w:id="378" w:name="_Toc1985165"/>
      <w:bookmarkStart w:id="379" w:name="_Toc12453056"/>
      <w:r w:rsidRPr="00201E1C">
        <w:rPr>
          <w:szCs w:val="22"/>
          <w:lang w:val="fr-BE"/>
        </w:rPr>
        <w:t>Le présent marché ne peut être modifié sans nouvelle procédure de passation sauf en application des clauses de réexamen suivantes</w:t>
      </w:r>
      <w:r w:rsidR="00142F56">
        <w:rPr>
          <w:szCs w:val="22"/>
          <w:lang w:val="fr-BE"/>
        </w:rPr>
        <w:t xml:space="preserve"> </w:t>
      </w:r>
      <w:r w:rsidRPr="00201E1C">
        <w:rPr>
          <w:szCs w:val="22"/>
          <w:lang w:val="fr-BE"/>
        </w:rPr>
        <w:t>:</w:t>
      </w:r>
      <w:r w:rsidRPr="00201E1C">
        <w:rPr>
          <w:rFonts w:ascii="Times New Roman" w:hAnsi="Times New Roman" w:cs="Times New Roman"/>
          <w:szCs w:val="22"/>
          <w:lang w:val="fr-BE"/>
        </w:rPr>
        <w:t>  </w:t>
      </w:r>
    </w:p>
    <w:p w14:paraId="3442CB27" w14:textId="01672D3F" w:rsidR="0032340C" w:rsidRPr="0032340C" w:rsidRDefault="0032340C" w:rsidP="0024215E">
      <w:pPr>
        <w:pStyle w:val="Vade-mecumtitre2"/>
      </w:pPr>
      <w:bookmarkStart w:id="380" w:name="_Toc113544462"/>
      <w:bookmarkStart w:id="381" w:name="_Toc114066764"/>
      <w:bookmarkStart w:id="382" w:name="_Toc116387756"/>
      <w:bookmarkStart w:id="383" w:name="_Toc117603220"/>
      <w:r w:rsidRPr="0032340C">
        <w:t xml:space="preserve">A13.1 </w:t>
      </w:r>
      <w:bookmarkEnd w:id="380"/>
      <w:bookmarkEnd w:id="381"/>
      <w:r w:rsidR="0024215E" w:rsidRPr="0024215E">
        <w:t>Remplacement de l’adjudicataire</w:t>
      </w:r>
      <w:r w:rsidR="0024215E" w:rsidRPr="0024215E">
        <w:rPr>
          <w:rFonts w:ascii="Times New Roman" w:hAnsi="Times New Roman" w:cs="Times New Roman"/>
        </w:rPr>
        <w:t> </w:t>
      </w:r>
      <w:bookmarkEnd w:id="382"/>
      <w:bookmarkEnd w:id="383"/>
    </w:p>
    <w:p w14:paraId="4E856D23" w14:textId="6413687F" w:rsidR="0024215E" w:rsidRDefault="0024215E" w:rsidP="00201E1C">
      <w:pPr>
        <w:spacing w:before="200" w:line="240" w:lineRule="auto"/>
        <w:jc w:val="both"/>
        <w:rPr>
          <w:szCs w:val="22"/>
          <w:lang w:val="fr-BE"/>
        </w:rPr>
      </w:pPr>
      <w:r w:rsidRPr="0024215E">
        <w:rPr>
          <w:szCs w:val="22"/>
          <w:lang w:val="fr-BE"/>
        </w:rPr>
        <w:t>Pour autant qu’il remplisse les critères de sélection ainsi que les motifs d’exclusion repris dans le présent document, un nouvel adjudicataire ne peut remplacer l’adjudicataire initial que dans les cas autres que ceux prévus à l’art. 38/3 des RGE.</w:t>
      </w:r>
      <w:r w:rsidRPr="0024215E">
        <w:rPr>
          <w:rFonts w:ascii="Times New Roman" w:hAnsi="Times New Roman" w:cs="Times New Roman"/>
          <w:szCs w:val="22"/>
          <w:lang w:val="fr-BE"/>
        </w:rPr>
        <w:t>  </w:t>
      </w:r>
    </w:p>
    <w:p w14:paraId="34FCEED6" w14:textId="3F482A24" w:rsidR="00201E1C" w:rsidRPr="00201E1C" w:rsidRDefault="00201E1C" w:rsidP="00201E1C">
      <w:pPr>
        <w:spacing w:before="200" w:line="240" w:lineRule="auto"/>
        <w:jc w:val="both"/>
        <w:rPr>
          <w:szCs w:val="22"/>
          <w:lang w:val="fr-BE"/>
        </w:rPr>
      </w:pPr>
      <w:r w:rsidRPr="00201E1C">
        <w:rPr>
          <w:szCs w:val="22"/>
          <w:lang w:val="fr-BE"/>
        </w:rPr>
        <w:t>Pour ce faire, l’adjudicataire introduit sa demande le plus rapidement possible par envoi recommandé, en précisant les raisons de ce remplacement, et en fournissant un inventaire détaillé de l’état des services déjà exécutés, les coordonnées relatives au nouvel adjudicataire ainsi que les documents et certificats auxquels le pouvoir adjudicateur n’a pas accès gratuitement.</w:t>
      </w:r>
      <w:r w:rsidRPr="00201E1C">
        <w:rPr>
          <w:rFonts w:ascii="Times New Roman" w:hAnsi="Times New Roman" w:cs="Times New Roman"/>
          <w:szCs w:val="22"/>
          <w:lang w:val="fr-BE"/>
        </w:rPr>
        <w:t> </w:t>
      </w:r>
      <w:r w:rsidRPr="00201E1C">
        <w:rPr>
          <w:szCs w:val="22"/>
          <w:lang w:val="fr-BE"/>
        </w:rPr>
        <w:t xml:space="preserve"> </w:t>
      </w:r>
    </w:p>
    <w:p w14:paraId="658D8256" w14:textId="0ED41518" w:rsidR="009875B8" w:rsidRDefault="00201E1C" w:rsidP="00201E1C">
      <w:pPr>
        <w:spacing w:before="200" w:line="240" w:lineRule="auto"/>
        <w:jc w:val="both"/>
        <w:rPr>
          <w:szCs w:val="22"/>
          <w:lang w:val="nl-BE"/>
        </w:rPr>
      </w:pPr>
      <w:r w:rsidRPr="00201E1C">
        <w:rPr>
          <w:szCs w:val="22"/>
          <w:lang w:val="fr-BE"/>
        </w:rPr>
        <w:t>La demande de remplacement sera analysée par le pouvoir adjudicateur et, le cas échéant, fera l’objet d’un avenant daté et signé par les trois parties. L’adjudicataire initial reste responsable vis-à-vis du pouvoir adjudicateur pour l’exécution de la partie restante du marché.</w:t>
      </w:r>
      <w:r w:rsidRPr="00201E1C">
        <w:rPr>
          <w:rFonts w:ascii="Times New Roman" w:hAnsi="Times New Roman" w:cs="Times New Roman"/>
          <w:szCs w:val="22"/>
          <w:lang w:val="fr-BE"/>
        </w:rPr>
        <w:t> </w:t>
      </w:r>
      <w:r w:rsidRPr="00201E1C">
        <w:rPr>
          <w:szCs w:val="22"/>
          <w:lang w:val="fr-BE"/>
        </w:rPr>
        <w:t xml:space="preserve"> </w:t>
      </w:r>
      <w:r w:rsidR="0032340C" w:rsidRPr="00201E1C">
        <w:rPr>
          <w:szCs w:val="22"/>
          <w:lang w:val="fr-BE"/>
        </w:rPr>
        <w:t xml:space="preserve"> </w:t>
      </w:r>
      <w:r w:rsidR="0032340C" w:rsidRPr="0032340C">
        <w:rPr>
          <w:szCs w:val="22"/>
          <w:lang w:val="nl-BE"/>
        </w:rPr>
        <w:t>overheid voor de resterende uitvoering van de opdracht.</w:t>
      </w:r>
    </w:p>
    <w:p w14:paraId="381E0680" w14:textId="55F98037" w:rsidR="00625BBB" w:rsidRPr="00194B3D" w:rsidRDefault="00625BBB" w:rsidP="0024215E">
      <w:pPr>
        <w:pStyle w:val="Vade-mecumtitre2"/>
      </w:pPr>
      <w:bookmarkStart w:id="384" w:name="_Toc113544463"/>
      <w:bookmarkStart w:id="385" w:name="_Toc114066765"/>
      <w:bookmarkStart w:id="386" w:name="_Toc116387757"/>
      <w:bookmarkStart w:id="387" w:name="_Toc117603221"/>
      <w:r w:rsidRPr="00194B3D">
        <w:t xml:space="preserve">A13.2 </w:t>
      </w:r>
      <w:bookmarkEnd w:id="384"/>
      <w:bookmarkEnd w:id="385"/>
      <w:r w:rsidR="0024215E" w:rsidRPr="00194B3D">
        <w:t>Impositions ayant une incidence sur le montant du marché</w:t>
      </w:r>
      <w:r w:rsidR="0024215E" w:rsidRPr="00194B3D">
        <w:rPr>
          <w:rFonts w:ascii="Times New Roman" w:hAnsi="Times New Roman" w:cs="Times New Roman"/>
        </w:rPr>
        <w:t> </w:t>
      </w:r>
      <w:bookmarkEnd w:id="386"/>
      <w:bookmarkEnd w:id="387"/>
    </w:p>
    <w:p w14:paraId="60B4EF8D" w14:textId="690FE993" w:rsidR="00AD432C" w:rsidRPr="00AD432C" w:rsidRDefault="00AD432C" w:rsidP="00AD432C">
      <w:pPr>
        <w:spacing w:before="200" w:line="240" w:lineRule="auto"/>
        <w:jc w:val="both"/>
        <w:rPr>
          <w:szCs w:val="22"/>
          <w:lang w:val="fr-BE"/>
        </w:rPr>
      </w:pPr>
      <w:r w:rsidRPr="00AD432C">
        <w:rPr>
          <w:szCs w:val="22"/>
          <w:lang w:val="fr-BE"/>
        </w:rPr>
        <w:t>L’adjudicataire peut se prévaloir des modifications des impositions en Belgique ayant une incidence sur le montant du marché aux conditions suivantes</w:t>
      </w:r>
      <w:r w:rsidRPr="00AD432C">
        <w:rPr>
          <w:rFonts w:ascii="Times New Roman" w:hAnsi="Times New Roman" w:cs="Times New Roman"/>
          <w:szCs w:val="22"/>
          <w:lang w:val="fr-BE"/>
        </w:rPr>
        <w:t> </w:t>
      </w:r>
      <w:r w:rsidRPr="00AD432C">
        <w:rPr>
          <w:szCs w:val="22"/>
          <w:lang w:val="fr-BE"/>
        </w:rPr>
        <w:t>:</w:t>
      </w:r>
      <w:r w:rsidRPr="00AD432C">
        <w:rPr>
          <w:rFonts w:ascii="Times New Roman" w:hAnsi="Times New Roman" w:cs="Times New Roman"/>
          <w:szCs w:val="22"/>
          <w:lang w:val="fr-BE"/>
        </w:rPr>
        <w:t> </w:t>
      </w:r>
      <w:r w:rsidRPr="00AD432C">
        <w:rPr>
          <w:szCs w:val="22"/>
          <w:lang w:val="fr-BE"/>
        </w:rPr>
        <w:t xml:space="preserve"> </w:t>
      </w:r>
    </w:p>
    <w:p w14:paraId="5939BECC" w14:textId="181D6B64" w:rsidR="00AD432C" w:rsidRPr="00AD432C" w:rsidRDefault="00AD432C" w:rsidP="00AD432C">
      <w:pPr>
        <w:pStyle w:val="ListParagraph"/>
        <w:numPr>
          <w:ilvl w:val="0"/>
          <w:numId w:val="48"/>
        </w:numPr>
        <w:spacing w:before="200" w:line="240" w:lineRule="auto"/>
        <w:jc w:val="both"/>
        <w:rPr>
          <w:szCs w:val="22"/>
          <w:lang w:val="fr-BE"/>
        </w:rPr>
      </w:pPr>
      <w:r w:rsidRPr="00AD432C">
        <w:rPr>
          <w:szCs w:val="22"/>
          <w:lang w:val="fr-BE"/>
        </w:rPr>
        <w:t>la modification est entrée en vigueur après le dixième jour précédant la date limite</w:t>
      </w:r>
      <w:r w:rsidRPr="00AD432C">
        <w:rPr>
          <w:rFonts w:ascii="Times New Roman" w:hAnsi="Times New Roman" w:cs="Times New Roman"/>
          <w:szCs w:val="22"/>
          <w:lang w:val="fr-BE"/>
        </w:rPr>
        <w:t> </w:t>
      </w:r>
      <w:r w:rsidRPr="00AD432C">
        <w:rPr>
          <w:szCs w:val="22"/>
          <w:lang w:val="fr-BE"/>
        </w:rPr>
        <w:t xml:space="preserve"> fix</w:t>
      </w:r>
      <w:r w:rsidRPr="00AD432C">
        <w:rPr>
          <w:rFonts w:cs="Roboto"/>
          <w:szCs w:val="22"/>
          <w:lang w:val="fr-BE"/>
        </w:rPr>
        <w:t>é</w:t>
      </w:r>
      <w:r w:rsidRPr="00AD432C">
        <w:rPr>
          <w:szCs w:val="22"/>
          <w:lang w:val="fr-BE"/>
        </w:rPr>
        <w:t>e pour la r</w:t>
      </w:r>
      <w:r w:rsidRPr="00AD432C">
        <w:rPr>
          <w:rFonts w:cs="Roboto"/>
          <w:szCs w:val="22"/>
          <w:lang w:val="fr-BE"/>
        </w:rPr>
        <w:t>é</w:t>
      </w:r>
      <w:r w:rsidRPr="00AD432C">
        <w:rPr>
          <w:szCs w:val="22"/>
          <w:lang w:val="fr-BE"/>
        </w:rPr>
        <w:t>ception des offres et</w:t>
      </w:r>
      <w:r w:rsidRPr="00AD432C">
        <w:rPr>
          <w:rFonts w:ascii="Times New Roman" w:hAnsi="Times New Roman" w:cs="Times New Roman"/>
          <w:szCs w:val="22"/>
          <w:lang w:val="fr-BE"/>
        </w:rPr>
        <w:t> </w:t>
      </w:r>
      <w:r w:rsidRPr="00AD432C">
        <w:rPr>
          <w:szCs w:val="22"/>
          <w:lang w:val="fr-BE"/>
        </w:rPr>
        <w:t xml:space="preserve"> </w:t>
      </w:r>
    </w:p>
    <w:p w14:paraId="08719526" w14:textId="07F07CE3" w:rsidR="005B2B1A" w:rsidRPr="00AD432C" w:rsidRDefault="00AD432C" w:rsidP="00AD432C">
      <w:pPr>
        <w:pStyle w:val="ListParagraph"/>
        <w:numPr>
          <w:ilvl w:val="0"/>
          <w:numId w:val="48"/>
        </w:numPr>
        <w:spacing w:before="200" w:line="240" w:lineRule="auto"/>
        <w:jc w:val="both"/>
        <w:rPr>
          <w:szCs w:val="22"/>
          <w:lang w:val="fr-BE"/>
        </w:rPr>
      </w:pPr>
      <w:r w:rsidRPr="00AD432C">
        <w:rPr>
          <w:szCs w:val="22"/>
          <w:lang w:val="fr-BE"/>
        </w:rPr>
        <w:t>soit directement, soit indirectement par l'intermédiaire d'un indice, ces impositions ne sont pas incorporées dans la formule de révision prévue dans les documents du marché en application de la révision de prix.</w:t>
      </w:r>
      <w:r w:rsidRPr="00AD432C">
        <w:rPr>
          <w:rFonts w:ascii="Times New Roman" w:hAnsi="Times New Roman" w:cs="Times New Roman"/>
          <w:szCs w:val="22"/>
          <w:lang w:val="fr-BE"/>
        </w:rPr>
        <w:t> </w:t>
      </w:r>
    </w:p>
    <w:p w14:paraId="7D136EA6" w14:textId="77777777" w:rsidR="00C80955" w:rsidRPr="00C80955" w:rsidRDefault="00C80955" w:rsidP="00C80955">
      <w:pPr>
        <w:pStyle w:val="Vade-mecumtitre2"/>
        <w:spacing w:line="240" w:lineRule="auto"/>
        <w:jc w:val="both"/>
        <w:rPr>
          <w:rFonts w:ascii="Roboto" w:hAnsi="Roboto"/>
          <w:b w:val="0"/>
          <w:bCs w:val="0"/>
          <w:color w:val="auto"/>
          <w:sz w:val="22"/>
          <w:szCs w:val="22"/>
        </w:rPr>
      </w:pPr>
      <w:bookmarkStart w:id="388" w:name="_Toc116387758"/>
      <w:bookmarkStart w:id="389" w:name="_Toc117603222"/>
      <w:bookmarkStart w:id="390" w:name="_Toc113544098"/>
      <w:bookmarkStart w:id="391" w:name="_Toc113544464"/>
      <w:bookmarkStart w:id="392" w:name="_Toc114066766"/>
      <w:r w:rsidRPr="00C80955">
        <w:rPr>
          <w:rFonts w:ascii="Roboto" w:hAnsi="Roboto"/>
          <w:b w:val="0"/>
          <w:bCs w:val="0"/>
          <w:color w:val="auto"/>
          <w:sz w:val="22"/>
          <w:szCs w:val="22"/>
        </w:rPr>
        <w:t>En cas de hausse des impositions, l'adjudicataire doit établir qu'il a effectivement supporté les charges supplémentaires qu’il a réclamées et que celles-ci concernent des prestations inhérentes à l'exécution du marché. En cas de baisse, il n'y a pas de révision si l'adjudicataire prouve qu'il a payé les impositions à l'ancien taux.</w:t>
      </w:r>
      <w:r w:rsidRPr="00C80955">
        <w:rPr>
          <w:rFonts w:ascii="Times New Roman" w:hAnsi="Times New Roman" w:cs="Times New Roman"/>
          <w:b w:val="0"/>
          <w:bCs w:val="0"/>
          <w:color w:val="auto"/>
          <w:sz w:val="22"/>
          <w:szCs w:val="22"/>
        </w:rPr>
        <w:t> </w:t>
      </w:r>
      <w:bookmarkEnd w:id="388"/>
      <w:bookmarkEnd w:id="389"/>
      <w:r w:rsidRPr="00C80955">
        <w:rPr>
          <w:rFonts w:ascii="Roboto" w:hAnsi="Roboto"/>
          <w:b w:val="0"/>
          <w:bCs w:val="0"/>
          <w:color w:val="auto"/>
          <w:sz w:val="22"/>
          <w:szCs w:val="22"/>
        </w:rPr>
        <w:t xml:space="preserve"> </w:t>
      </w:r>
    </w:p>
    <w:p w14:paraId="36018652" w14:textId="77777777" w:rsidR="00C80955" w:rsidRPr="00C80955" w:rsidRDefault="00C80955" w:rsidP="00C80955">
      <w:pPr>
        <w:pStyle w:val="Vade-mecumtitre2"/>
        <w:spacing w:line="240" w:lineRule="auto"/>
        <w:jc w:val="both"/>
        <w:rPr>
          <w:rFonts w:ascii="Roboto" w:hAnsi="Roboto"/>
          <w:b w:val="0"/>
          <w:bCs w:val="0"/>
          <w:color w:val="auto"/>
          <w:sz w:val="22"/>
          <w:szCs w:val="22"/>
        </w:rPr>
      </w:pPr>
      <w:bookmarkStart w:id="393" w:name="_Toc116387759"/>
      <w:bookmarkStart w:id="394" w:name="_Toc117603223"/>
      <w:r w:rsidRPr="00C80955">
        <w:rPr>
          <w:rFonts w:ascii="Roboto" w:hAnsi="Roboto"/>
          <w:b w:val="0"/>
          <w:bCs w:val="0"/>
          <w:color w:val="auto"/>
          <w:sz w:val="22"/>
          <w:szCs w:val="22"/>
        </w:rPr>
        <w:t>Sous peine de déchéance, l’adjudicataire doit transmettre par écrit au pouvoir adjudicateur la justification chiffrée de sa demande dans les délais suivants</w:t>
      </w:r>
      <w:r w:rsidRPr="00C80955">
        <w:rPr>
          <w:rFonts w:ascii="Times New Roman" w:hAnsi="Times New Roman" w:cs="Times New Roman"/>
          <w:b w:val="0"/>
          <w:bCs w:val="0"/>
          <w:color w:val="auto"/>
          <w:sz w:val="22"/>
          <w:szCs w:val="22"/>
        </w:rPr>
        <w:t> </w:t>
      </w:r>
      <w:r w:rsidRPr="00C80955">
        <w:rPr>
          <w:rFonts w:ascii="Roboto" w:hAnsi="Roboto"/>
          <w:b w:val="0"/>
          <w:bCs w:val="0"/>
          <w:color w:val="auto"/>
          <w:sz w:val="22"/>
          <w:szCs w:val="22"/>
        </w:rPr>
        <w:t>:</w:t>
      </w:r>
      <w:r w:rsidRPr="00C80955">
        <w:rPr>
          <w:rFonts w:ascii="Times New Roman" w:hAnsi="Times New Roman" w:cs="Times New Roman"/>
          <w:b w:val="0"/>
          <w:bCs w:val="0"/>
          <w:color w:val="auto"/>
          <w:sz w:val="22"/>
          <w:szCs w:val="22"/>
        </w:rPr>
        <w:t> </w:t>
      </w:r>
      <w:bookmarkEnd w:id="393"/>
      <w:bookmarkEnd w:id="394"/>
      <w:r w:rsidRPr="00C80955">
        <w:rPr>
          <w:rFonts w:ascii="Roboto" w:hAnsi="Roboto"/>
          <w:b w:val="0"/>
          <w:bCs w:val="0"/>
          <w:color w:val="auto"/>
          <w:sz w:val="22"/>
          <w:szCs w:val="22"/>
        </w:rPr>
        <w:t xml:space="preserve"> </w:t>
      </w:r>
    </w:p>
    <w:p w14:paraId="2B998D34" w14:textId="77777777" w:rsidR="00C80955" w:rsidRPr="00C80955" w:rsidRDefault="00C80955" w:rsidP="00C80955">
      <w:pPr>
        <w:pStyle w:val="Vade-mecumtitre2"/>
        <w:spacing w:line="240" w:lineRule="auto"/>
        <w:jc w:val="both"/>
        <w:rPr>
          <w:rFonts w:ascii="Roboto" w:hAnsi="Roboto"/>
          <w:b w:val="0"/>
          <w:bCs w:val="0"/>
          <w:color w:val="auto"/>
          <w:sz w:val="22"/>
          <w:szCs w:val="22"/>
        </w:rPr>
      </w:pPr>
      <w:bookmarkStart w:id="395" w:name="_Toc116387760"/>
      <w:bookmarkStart w:id="396" w:name="_Toc117603224"/>
      <w:r w:rsidRPr="00C80955">
        <w:rPr>
          <w:rFonts w:ascii="Roboto" w:hAnsi="Roboto"/>
          <w:b w:val="0"/>
          <w:bCs w:val="0"/>
          <w:color w:val="auto"/>
          <w:sz w:val="22"/>
          <w:szCs w:val="22"/>
        </w:rPr>
        <w:t>1°</w:t>
      </w:r>
      <w:r w:rsidRPr="00C80955">
        <w:rPr>
          <w:rFonts w:ascii="Roboto" w:hAnsi="Roboto"/>
          <w:b w:val="0"/>
          <w:bCs w:val="0"/>
          <w:color w:val="auto"/>
          <w:sz w:val="22"/>
          <w:szCs w:val="22"/>
        </w:rPr>
        <w:tab/>
        <w:t>avant l’expiration des délais contractuels pour obtenir une prolongation des délais d’exécution ou la résiliation du marché ;</w:t>
      </w:r>
      <w:r w:rsidRPr="00C80955">
        <w:rPr>
          <w:rFonts w:ascii="Times New Roman" w:hAnsi="Times New Roman" w:cs="Times New Roman"/>
          <w:b w:val="0"/>
          <w:bCs w:val="0"/>
          <w:color w:val="auto"/>
          <w:sz w:val="22"/>
          <w:szCs w:val="22"/>
        </w:rPr>
        <w:t> </w:t>
      </w:r>
      <w:bookmarkEnd w:id="395"/>
      <w:bookmarkEnd w:id="396"/>
      <w:r w:rsidRPr="00C80955">
        <w:rPr>
          <w:rFonts w:ascii="Roboto" w:hAnsi="Roboto"/>
          <w:b w:val="0"/>
          <w:bCs w:val="0"/>
          <w:color w:val="auto"/>
          <w:sz w:val="22"/>
          <w:szCs w:val="22"/>
        </w:rPr>
        <w:t xml:space="preserve"> </w:t>
      </w:r>
    </w:p>
    <w:p w14:paraId="4942534D" w14:textId="4247308E" w:rsidR="00C80955" w:rsidRPr="00C80955" w:rsidRDefault="00C80955" w:rsidP="00C80955">
      <w:pPr>
        <w:pStyle w:val="Vade-mecumtitre2"/>
        <w:spacing w:line="240" w:lineRule="auto"/>
        <w:jc w:val="both"/>
        <w:rPr>
          <w:rFonts w:ascii="Roboto" w:hAnsi="Roboto"/>
          <w:b w:val="0"/>
          <w:bCs w:val="0"/>
          <w:color w:val="auto"/>
          <w:sz w:val="22"/>
          <w:szCs w:val="22"/>
        </w:rPr>
      </w:pPr>
      <w:bookmarkStart w:id="397" w:name="_Toc116387761"/>
      <w:bookmarkStart w:id="398" w:name="_Toc117603225"/>
      <w:r w:rsidRPr="00C80955">
        <w:rPr>
          <w:rFonts w:ascii="Roboto" w:hAnsi="Roboto"/>
          <w:b w:val="0"/>
          <w:bCs w:val="0"/>
          <w:color w:val="auto"/>
          <w:sz w:val="22"/>
          <w:szCs w:val="22"/>
        </w:rPr>
        <w:t>2°</w:t>
      </w:r>
      <w:r w:rsidRPr="00C80955">
        <w:rPr>
          <w:rFonts w:ascii="Roboto" w:hAnsi="Roboto"/>
          <w:b w:val="0"/>
          <w:bCs w:val="0"/>
          <w:color w:val="auto"/>
          <w:sz w:val="22"/>
          <w:szCs w:val="22"/>
        </w:rPr>
        <w:tab/>
        <w:t>au plus tard nonante jours à compter de la date de la notification à l’adjudicataire du procès-verbal de la réception provisoire du marché, pour obtenir une révision du marché autre que celle visée au 1° ou des dommages et intérêts</w:t>
      </w:r>
      <w:r w:rsidR="00142F56">
        <w:rPr>
          <w:rFonts w:ascii="Roboto" w:hAnsi="Roboto"/>
          <w:b w:val="0"/>
          <w:bCs w:val="0"/>
          <w:color w:val="auto"/>
          <w:sz w:val="22"/>
          <w:szCs w:val="22"/>
        </w:rPr>
        <w:t xml:space="preserve"> </w:t>
      </w:r>
      <w:r w:rsidRPr="00C80955">
        <w:rPr>
          <w:rFonts w:ascii="Roboto" w:hAnsi="Roboto"/>
          <w:b w:val="0"/>
          <w:bCs w:val="0"/>
          <w:color w:val="auto"/>
          <w:sz w:val="22"/>
          <w:szCs w:val="22"/>
        </w:rPr>
        <w:t>;</w:t>
      </w:r>
      <w:r w:rsidRPr="00C80955">
        <w:rPr>
          <w:rFonts w:ascii="Times New Roman" w:hAnsi="Times New Roman" w:cs="Times New Roman"/>
          <w:b w:val="0"/>
          <w:bCs w:val="0"/>
          <w:color w:val="auto"/>
          <w:sz w:val="22"/>
          <w:szCs w:val="22"/>
        </w:rPr>
        <w:t> </w:t>
      </w:r>
      <w:bookmarkEnd w:id="397"/>
      <w:bookmarkEnd w:id="398"/>
      <w:r w:rsidRPr="00C80955">
        <w:rPr>
          <w:rFonts w:ascii="Roboto" w:hAnsi="Roboto"/>
          <w:b w:val="0"/>
          <w:bCs w:val="0"/>
          <w:color w:val="auto"/>
          <w:sz w:val="22"/>
          <w:szCs w:val="22"/>
        </w:rPr>
        <w:t xml:space="preserve"> </w:t>
      </w:r>
    </w:p>
    <w:p w14:paraId="6B9305DF" w14:textId="64A38F76" w:rsidR="00C80955" w:rsidRDefault="00C80955" w:rsidP="00C80955">
      <w:pPr>
        <w:pStyle w:val="Vade-mecumtitre2"/>
        <w:spacing w:line="240" w:lineRule="auto"/>
        <w:jc w:val="both"/>
        <w:rPr>
          <w:rFonts w:ascii="Roboto" w:hAnsi="Roboto"/>
          <w:b w:val="0"/>
          <w:bCs w:val="0"/>
          <w:color w:val="auto"/>
          <w:sz w:val="22"/>
          <w:szCs w:val="22"/>
        </w:rPr>
      </w:pPr>
      <w:bookmarkStart w:id="399" w:name="_Toc116387762"/>
      <w:bookmarkStart w:id="400" w:name="_Toc117603226"/>
      <w:r w:rsidRPr="00C80955">
        <w:rPr>
          <w:rFonts w:ascii="Roboto" w:hAnsi="Roboto"/>
          <w:b w:val="0"/>
          <w:bCs w:val="0"/>
          <w:color w:val="auto"/>
          <w:sz w:val="22"/>
          <w:szCs w:val="22"/>
        </w:rPr>
        <w:t>3°</w:t>
      </w:r>
      <w:r w:rsidRPr="00C80955">
        <w:rPr>
          <w:rFonts w:ascii="Roboto" w:hAnsi="Roboto"/>
          <w:b w:val="0"/>
          <w:bCs w:val="0"/>
          <w:color w:val="auto"/>
          <w:sz w:val="22"/>
          <w:szCs w:val="22"/>
        </w:rPr>
        <w:tab/>
        <w:t>au plus tard nonante jours après l’expiration de la période de garantie, pour obtenir une révision du marché autre que celle visée au 1° ou des dommages et intérêts, lorsque ladite demande d’application de la clause de réexamen trouve son origine dans des faits ou circonstances survenu(e)s pendant la période de garantie.</w:t>
      </w:r>
      <w:r w:rsidRPr="00C80955">
        <w:rPr>
          <w:rFonts w:ascii="Times New Roman" w:hAnsi="Times New Roman" w:cs="Times New Roman"/>
          <w:b w:val="0"/>
          <w:bCs w:val="0"/>
          <w:color w:val="auto"/>
          <w:sz w:val="22"/>
          <w:szCs w:val="22"/>
        </w:rPr>
        <w:t> </w:t>
      </w:r>
      <w:bookmarkEnd w:id="399"/>
      <w:bookmarkEnd w:id="400"/>
      <w:r w:rsidRPr="00C80955">
        <w:rPr>
          <w:rFonts w:ascii="Roboto" w:hAnsi="Roboto"/>
          <w:b w:val="0"/>
          <w:bCs w:val="0"/>
          <w:color w:val="auto"/>
          <w:sz w:val="22"/>
          <w:szCs w:val="22"/>
        </w:rPr>
        <w:t xml:space="preserve"> </w:t>
      </w:r>
    </w:p>
    <w:p w14:paraId="71C382F9" w14:textId="77777777" w:rsidR="00142F56" w:rsidRPr="00142F56" w:rsidRDefault="00142F56" w:rsidP="00142F56">
      <w:pPr>
        <w:pStyle w:val="Vade-Mecum0"/>
      </w:pPr>
    </w:p>
    <w:p w14:paraId="32183AB5" w14:textId="5C596BD4" w:rsidR="00625BBB" w:rsidRPr="005E6767" w:rsidRDefault="00625BBB" w:rsidP="00B20F7E">
      <w:pPr>
        <w:pStyle w:val="Vade-mecumtitre2"/>
      </w:pPr>
      <w:bookmarkStart w:id="401" w:name="_Toc116387763"/>
      <w:bookmarkStart w:id="402" w:name="_Toc117603227"/>
      <w:r w:rsidRPr="005E6767">
        <w:t xml:space="preserve">A13.3 </w:t>
      </w:r>
      <w:bookmarkEnd w:id="390"/>
      <w:bookmarkEnd w:id="391"/>
      <w:bookmarkEnd w:id="392"/>
      <w:r w:rsidR="00B20F7E" w:rsidRPr="005E6767">
        <w:t>Circonstances imprévisibles dans le chef de l’adjudicataire et à son détriment</w:t>
      </w:r>
      <w:r w:rsidR="00B20F7E" w:rsidRPr="005E6767">
        <w:rPr>
          <w:rFonts w:ascii="Times New Roman" w:hAnsi="Times New Roman" w:cs="Times New Roman"/>
        </w:rPr>
        <w:t> </w:t>
      </w:r>
      <w:bookmarkEnd w:id="401"/>
      <w:bookmarkEnd w:id="402"/>
    </w:p>
    <w:p w14:paraId="743963AA" w14:textId="0123332E" w:rsidR="005E6767" w:rsidRPr="005E6767" w:rsidRDefault="005E6767" w:rsidP="005E6767">
      <w:pPr>
        <w:spacing w:before="200" w:line="240" w:lineRule="auto"/>
        <w:jc w:val="both"/>
        <w:rPr>
          <w:szCs w:val="22"/>
          <w:lang w:val="fr-BE"/>
        </w:rPr>
      </w:pPr>
      <w:r w:rsidRPr="005E6767">
        <w:rPr>
          <w:szCs w:val="22"/>
          <w:lang w:val="fr-BE"/>
        </w:rPr>
        <w:t xml:space="preserve">Le marché peut faire l’objet d’une modification lorsque l’équilibre contractuel est bouleversé </w:t>
      </w:r>
      <w:r w:rsidRPr="005E6767">
        <w:rPr>
          <w:b/>
          <w:bCs/>
          <w:szCs w:val="22"/>
          <w:lang w:val="fr-BE"/>
        </w:rPr>
        <w:t>au détriment</w:t>
      </w:r>
      <w:r w:rsidRPr="005E6767">
        <w:rPr>
          <w:szCs w:val="22"/>
          <w:lang w:val="fr-BE"/>
        </w:rPr>
        <w:t xml:space="preserve"> de l’adjudicataire par des circonstances quelconques auxquelles le pouvoir adjudicateur est resté étranger.</w:t>
      </w:r>
      <w:r w:rsidRPr="005E6767">
        <w:rPr>
          <w:rFonts w:ascii="Times New Roman" w:hAnsi="Times New Roman" w:cs="Times New Roman"/>
          <w:szCs w:val="22"/>
          <w:lang w:val="fr-BE"/>
        </w:rPr>
        <w:t>  </w:t>
      </w:r>
      <w:r w:rsidRPr="005E6767">
        <w:rPr>
          <w:szCs w:val="22"/>
          <w:lang w:val="fr-BE"/>
        </w:rPr>
        <w:t xml:space="preserve"> </w:t>
      </w:r>
    </w:p>
    <w:p w14:paraId="6234FD65" w14:textId="58B170F5" w:rsidR="00625BBB" w:rsidRPr="005E6767" w:rsidRDefault="005E6767" w:rsidP="005E6767">
      <w:pPr>
        <w:spacing w:before="200" w:line="240" w:lineRule="auto"/>
        <w:jc w:val="both"/>
        <w:rPr>
          <w:szCs w:val="22"/>
          <w:lang w:val="fr-BE"/>
        </w:rPr>
      </w:pPr>
      <w:r w:rsidRPr="005E6767">
        <w:rPr>
          <w:szCs w:val="22"/>
          <w:lang w:val="fr-BE"/>
        </w:rPr>
        <w:t>L’adjudicataire ne peut invoquer l’application de cette clause de réexamen que s’il démontre que la révision est devenue nécessaire à la suite des circonstances qu'il ne pouvait raisonnablement pas prévoir lors du dépôt de son l'offre, qu'il ne pouvait éviter et aux conséquences desquelles il ne pouvait obvier, bien qu'il ait fait toutes les diligences nécessaires.</w:t>
      </w:r>
      <w:r w:rsidRPr="005E6767">
        <w:rPr>
          <w:rFonts w:ascii="Times New Roman" w:hAnsi="Times New Roman" w:cs="Times New Roman"/>
          <w:szCs w:val="22"/>
          <w:lang w:val="fr-BE"/>
        </w:rPr>
        <w:t>  </w:t>
      </w:r>
    </w:p>
    <w:p w14:paraId="25E9EAED" w14:textId="2DFBA3CF" w:rsidR="00625BBB" w:rsidRPr="00AC1C9E" w:rsidRDefault="00AC1C9E" w:rsidP="00625BBB">
      <w:pPr>
        <w:spacing w:before="200" w:line="240" w:lineRule="auto"/>
        <w:jc w:val="both"/>
        <w:rPr>
          <w:szCs w:val="22"/>
          <w:lang w:val="fr-BE"/>
        </w:rPr>
      </w:pPr>
      <w:r w:rsidRPr="00AC1C9E">
        <w:rPr>
          <w:szCs w:val="22"/>
          <w:lang w:val="fr-BE"/>
        </w:rPr>
        <w:t>L'adjudicataire ne peut invoquer la défaillance d'un sous-traitant que pour autant que ce dernier puisse se prévaloir des circonstances que l'adjudicataire aurait pu lui-même invoquer s'il avait été placé dans une situation analogue.</w:t>
      </w:r>
    </w:p>
    <w:p w14:paraId="19E65AC5" w14:textId="6252F777" w:rsidR="00625BBB" w:rsidRPr="0018575E" w:rsidRDefault="0018575E" w:rsidP="00625BBB">
      <w:pPr>
        <w:spacing w:before="200" w:line="240" w:lineRule="auto"/>
        <w:jc w:val="both"/>
        <w:rPr>
          <w:szCs w:val="22"/>
          <w:lang w:val="fr-BE"/>
        </w:rPr>
      </w:pPr>
      <w:r w:rsidRPr="0018575E">
        <w:rPr>
          <w:szCs w:val="22"/>
          <w:lang w:val="fr-BE"/>
        </w:rPr>
        <w:t>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influence sur le déroulement et le coût du marché.</w:t>
      </w:r>
      <w:r w:rsidRPr="0018575E">
        <w:rPr>
          <w:rFonts w:ascii="Times New Roman" w:hAnsi="Times New Roman" w:cs="Times New Roman"/>
          <w:szCs w:val="22"/>
          <w:lang w:val="fr-BE"/>
        </w:rPr>
        <w:t>   </w:t>
      </w:r>
    </w:p>
    <w:p w14:paraId="3534F4C9" w14:textId="767058E2" w:rsidR="00625BBB" w:rsidRPr="00AC1C9E" w:rsidRDefault="00AC1C9E" w:rsidP="00625BBB">
      <w:pPr>
        <w:spacing w:before="200" w:line="240" w:lineRule="auto"/>
        <w:jc w:val="both"/>
        <w:rPr>
          <w:szCs w:val="22"/>
          <w:lang w:val="fr-BE"/>
        </w:rPr>
      </w:pPr>
      <w:r w:rsidRPr="00AC1C9E">
        <w:rPr>
          <w:szCs w:val="22"/>
          <w:lang w:val="fr-BE"/>
        </w:rPr>
        <w:t>Sous peine de déchéance, l’adjudicataire doit transmettre par écrit au pouvoir adjudicateur la justification chiffrée de sa demande dans les délais suivants:</w:t>
      </w:r>
      <w:r w:rsidRPr="00AC1C9E">
        <w:rPr>
          <w:rFonts w:ascii="Times New Roman" w:hAnsi="Times New Roman" w:cs="Times New Roman"/>
          <w:szCs w:val="22"/>
          <w:lang w:val="fr-BE"/>
        </w:rPr>
        <w:t> </w:t>
      </w:r>
    </w:p>
    <w:p w14:paraId="72C665ED" w14:textId="41D7ED80" w:rsidR="004167D3" w:rsidRPr="00142F56" w:rsidRDefault="004167D3" w:rsidP="004167D3">
      <w:pPr>
        <w:spacing w:before="200" w:line="240" w:lineRule="auto"/>
        <w:jc w:val="both"/>
        <w:rPr>
          <w:szCs w:val="22"/>
          <w:lang w:val="fr-BE"/>
        </w:rPr>
      </w:pPr>
      <w:r w:rsidRPr="004167D3">
        <w:rPr>
          <w:szCs w:val="22"/>
          <w:lang w:val="fr-BE"/>
        </w:rPr>
        <w:t>1°</w:t>
      </w:r>
      <w:r w:rsidRPr="006A3299">
        <w:rPr>
          <w:szCs w:val="22"/>
          <w:lang w:val="fr-BE"/>
        </w:rPr>
        <w:tab/>
      </w:r>
      <w:r w:rsidRPr="004167D3">
        <w:rPr>
          <w:szCs w:val="22"/>
          <w:lang w:val="fr-BE"/>
        </w:rPr>
        <w:t>avant l’expiration des délais contractuels pour obtenir une prolongation des délais d’exécution ou la résiliation du marché</w:t>
      </w:r>
      <w:r w:rsidR="00142F56">
        <w:rPr>
          <w:szCs w:val="22"/>
          <w:lang w:val="fr-BE"/>
        </w:rPr>
        <w:t xml:space="preserve"> </w:t>
      </w:r>
      <w:r w:rsidRPr="004167D3">
        <w:rPr>
          <w:szCs w:val="22"/>
          <w:lang w:val="fr-BE"/>
        </w:rPr>
        <w:t>;</w:t>
      </w:r>
      <w:r w:rsidRPr="00142F56">
        <w:rPr>
          <w:rFonts w:ascii="Times New Roman" w:hAnsi="Times New Roman" w:cs="Times New Roman"/>
          <w:szCs w:val="22"/>
          <w:lang w:val="fr-BE"/>
        </w:rPr>
        <w:t> </w:t>
      </w:r>
      <w:r w:rsidRPr="00142F56">
        <w:rPr>
          <w:szCs w:val="22"/>
          <w:lang w:val="fr-BE"/>
        </w:rPr>
        <w:t> </w:t>
      </w:r>
    </w:p>
    <w:p w14:paraId="40413094" w14:textId="396B07E5" w:rsidR="004167D3" w:rsidRPr="00142F56" w:rsidRDefault="004167D3" w:rsidP="004167D3">
      <w:pPr>
        <w:spacing w:before="200" w:line="240" w:lineRule="auto"/>
        <w:jc w:val="both"/>
        <w:rPr>
          <w:szCs w:val="22"/>
          <w:lang w:val="fr-BE"/>
        </w:rPr>
      </w:pPr>
      <w:r w:rsidRPr="004167D3">
        <w:rPr>
          <w:szCs w:val="22"/>
          <w:lang w:val="fr-BE"/>
        </w:rPr>
        <w:t>2°</w:t>
      </w:r>
      <w:r w:rsidRPr="006A3299">
        <w:rPr>
          <w:szCs w:val="22"/>
          <w:lang w:val="fr-BE"/>
        </w:rPr>
        <w:tab/>
      </w:r>
      <w:r w:rsidRPr="004167D3">
        <w:rPr>
          <w:szCs w:val="22"/>
          <w:lang w:val="fr-BE"/>
        </w:rPr>
        <w:t>au plus tard nonante jours à compter de la date de la notification à l’adjudicataire du procès-verbal de la réception provisoire du marché pour obtenir une révision du marché autre que celle visée au 1° ou des dommages et intérêts</w:t>
      </w:r>
      <w:r w:rsidR="00142F56">
        <w:rPr>
          <w:szCs w:val="22"/>
          <w:lang w:val="fr-BE"/>
        </w:rPr>
        <w:t xml:space="preserve"> </w:t>
      </w:r>
      <w:r w:rsidRPr="004167D3">
        <w:rPr>
          <w:szCs w:val="22"/>
          <w:lang w:val="fr-BE"/>
        </w:rPr>
        <w:t>;</w:t>
      </w:r>
      <w:r w:rsidRPr="00142F56">
        <w:rPr>
          <w:rFonts w:ascii="Times New Roman" w:hAnsi="Times New Roman" w:cs="Times New Roman"/>
          <w:szCs w:val="22"/>
          <w:lang w:val="fr-BE"/>
        </w:rPr>
        <w:t> </w:t>
      </w:r>
      <w:r w:rsidRPr="00142F56">
        <w:rPr>
          <w:szCs w:val="22"/>
          <w:lang w:val="fr-BE"/>
        </w:rPr>
        <w:t> </w:t>
      </w:r>
    </w:p>
    <w:p w14:paraId="1FF184CB" w14:textId="77777777" w:rsidR="004167D3" w:rsidRPr="00142F56" w:rsidRDefault="004167D3" w:rsidP="004167D3">
      <w:pPr>
        <w:spacing w:before="200" w:line="240" w:lineRule="auto"/>
        <w:jc w:val="both"/>
        <w:rPr>
          <w:szCs w:val="22"/>
          <w:lang w:val="fr-BE"/>
        </w:rPr>
      </w:pPr>
      <w:r w:rsidRPr="004167D3">
        <w:rPr>
          <w:szCs w:val="22"/>
          <w:lang w:val="fr-BE"/>
        </w:rPr>
        <w:t>3°</w:t>
      </w:r>
      <w:r w:rsidRPr="006A3299">
        <w:rPr>
          <w:szCs w:val="22"/>
          <w:lang w:val="fr-BE"/>
        </w:rPr>
        <w:tab/>
      </w:r>
      <w:r w:rsidRPr="004167D3">
        <w:rPr>
          <w:szCs w:val="22"/>
          <w:lang w:val="fr-BE"/>
        </w:rPr>
        <w:t>au plus tard nonante jours après l’expiration de la période de garantie, pour obtenir une révision du marché autre que celle visée au 1° ou des dommages et intérêts, lorsque ladite demande d’application de la clause de réexamen trouve son origine dans des faits ou circonstances survenu(e)s pendant la période de garantie.</w:t>
      </w:r>
      <w:r w:rsidRPr="00142F56">
        <w:rPr>
          <w:rFonts w:ascii="Times New Roman" w:hAnsi="Times New Roman" w:cs="Times New Roman"/>
          <w:szCs w:val="22"/>
          <w:lang w:val="fr-BE"/>
        </w:rPr>
        <w:t> </w:t>
      </w:r>
      <w:r w:rsidRPr="00142F56">
        <w:rPr>
          <w:szCs w:val="22"/>
          <w:lang w:val="fr-BE"/>
        </w:rPr>
        <w:t> </w:t>
      </w:r>
    </w:p>
    <w:p w14:paraId="27A6FDA6" w14:textId="2B61E525" w:rsidR="00625BBB" w:rsidRPr="0018575E" w:rsidRDefault="0018575E" w:rsidP="00625BBB">
      <w:pPr>
        <w:spacing w:before="200" w:line="240" w:lineRule="auto"/>
        <w:jc w:val="both"/>
        <w:rPr>
          <w:szCs w:val="22"/>
          <w:lang w:val="fr-BE"/>
        </w:rPr>
      </w:pPr>
      <w:r w:rsidRPr="0018575E">
        <w:rPr>
          <w:szCs w:val="22"/>
          <w:lang w:val="fr-BE"/>
        </w:rPr>
        <w:t>Lorsque les conditions seront réunies, l’adjudicataire pourra obtenir soit une prolongation des délais d’exécution, soit lorsqu’il s’agit d’un préjudice très important, la résiliation du marché.</w:t>
      </w:r>
      <w:r w:rsidRPr="0018575E">
        <w:rPr>
          <w:rFonts w:ascii="Times New Roman" w:hAnsi="Times New Roman" w:cs="Times New Roman"/>
          <w:szCs w:val="22"/>
          <w:lang w:val="fr-BE"/>
        </w:rPr>
        <w:t> </w:t>
      </w:r>
    </w:p>
    <w:p w14:paraId="4C5D9C06" w14:textId="0250EC0A" w:rsidR="00625BBB" w:rsidRPr="002E704D" w:rsidRDefault="00625BBB" w:rsidP="00D77E91">
      <w:pPr>
        <w:pStyle w:val="Vade-mecumtitre2"/>
      </w:pPr>
      <w:bookmarkStart w:id="403" w:name="_Toc113544465"/>
      <w:bookmarkStart w:id="404" w:name="_Toc114066767"/>
      <w:bookmarkStart w:id="405" w:name="_Toc116387764"/>
      <w:bookmarkStart w:id="406" w:name="_Toc117603228"/>
      <w:r w:rsidRPr="002E704D">
        <w:t xml:space="preserve">A13.4 </w:t>
      </w:r>
      <w:bookmarkEnd w:id="403"/>
      <w:bookmarkEnd w:id="404"/>
      <w:r w:rsidR="00D77E91" w:rsidRPr="00D77E91">
        <w:t>Circonstances imprévisibles dans le chef de l’adjudicataire et en sa faveur</w:t>
      </w:r>
      <w:r w:rsidR="00D77E91" w:rsidRPr="00D77E91">
        <w:rPr>
          <w:rFonts w:ascii="Times New Roman" w:hAnsi="Times New Roman" w:cs="Times New Roman"/>
        </w:rPr>
        <w:t>  </w:t>
      </w:r>
      <w:bookmarkEnd w:id="405"/>
      <w:bookmarkEnd w:id="406"/>
    </w:p>
    <w:p w14:paraId="003C8C88" w14:textId="0FC5C232" w:rsidR="004167D3" w:rsidRPr="004167D3" w:rsidRDefault="004167D3" w:rsidP="004167D3">
      <w:pPr>
        <w:spacing w:before="200" w:line="240" w:lineRule="auto"/>
        <w:jc w:val="both"/>
        <w:rPr>
          <w:szCs w:val="22"/>
          <w:lang w:val="fr-BE"/>
        </w:rPr>
      </w:pPr>
      <w:r w:rsidRPr="004167D3">
        <w:rPr>
          <w:szCs w:val="22"/>
          <w:lang w:val="fr-BE"/>
        </w:rPr>
        <w:t xml:space="preserve">Le marché peut faire l’objet d’une modification lorsque l’équilibre contractuel du marché a été bouleversé </w:t>
      </w:r>
      <w:r w:rsidRPr="004167D3">
        <w:rPr>
          <w:b/>
          <w:bCs/>
          <w:szCs w:val="22"/>
          <w:lang w:val="fr-BE"/>
        </w:rPr>
        <w:t xml:space="preserve">en faveur </w:t>
      </w:r>
      <w:r w:rsidRPr="004167D3">
        <w:rPr>
          <w:szCs w:val="22"/>
          <w:lang w:val="fr-BE"/>
        </w:rPr>
        <w:t>de l’adjudicataire en raison de circonstances quelconques auxquelles le pouvoir adjudicateur est resté étranger.</w:t>
      </w:r>
      <w:r w:rsidRPr="004167D3">
        <w:rPr>
          <w:rFonts w:ascii="Times New Roman" w:hAnsi="Times New Roman" w:cs="Times New Roman"/>
          <w:szCs w:val="22"/>
          <w:lang w:val="fr-BE"/>
        </w:rPr>
        <w:t> </w:t>
      </w:r>
      <w:r w:rsidRPr="004167D3">
        <w:rPr>
          <w:szCs w:val="22"/>
          <w:lang w:val="fr-BE"/>
        </w:rPr>
        <w:t xml:space="preserve"> </w:t>
      </w:r>
    </w:p>
    <w:p w14:paraId="35D1A29F" w14:textId="55DE5094" w:rsidR="004167D3" w:rsidRPr="004167D3" w:rsidRDefault="004167D3" w:rsidP="004167D3">
      <w:pPr>
        <w:spacing w:before="200" w:line="240" w:lineRule="auto"/>
        <w:jc w:val="both"/>
        <w:rPr>
          <w:szCs w:val="22"/>
          <w:lang w:val="fr-BE"/>
        </w:rPr>
      </w:pPr>
      <w:r w:rsidRPr="004167D3">
        <w:rPr>
          <w:szCs w:val="22"/>
          <w:lang w:val="fr-BE"/>
        </w:rPr>
        <w:t>Le pouvoir adjudicateur qui veut se baser sur cette clause de réexamen, doit dénoncer les faits ou les circonstances sur lesquels il se base, par écrit dans les trente jours de leur survenance ou de la date à laquelle l’adjudicataire ou le pouvoir adjudicateur aurait normalement dû en avoir connaissance. Il décrit de manière précise leur influence sur le déroulement et le coût du marché.</w:t>
      </w:r>
      <w:r w:rsidRPr="004167D3">
        <w:rPr>
          <w:rFonts w:ascii="Times New Roman" w:hAnsi="Times New Roman" w:cs="Times New Roman"/>
          <w:szCs w:val="22"/>
          <w:lang w:val="fr-BE"/>
        </w:rPr>
        <w:t>   </w:t>
      </w:r>
      <w:r w:rsidRPr="004167D3">
        <w:rPr>
          <w:szCs w:val="22"/>
          <w:lang w:val="fr-BE"/>
        </w:rPr>
        <w:t xml:space="preserve"> </w:t>
      </w:r>
    </w:p>
    <w:p w14:paraId="46587D1C" w14:textId="77777777" w:rsidR="004167D3" w:rsidRPr="004167D3" w:rsidRDefault="004167D3" w:rsidP="004167D3">
      <w:pPr>
        <w:spacing w:before="200" w:line="240" w:lineRule="auto"/>
        <w:jc w:val="both"/>
        <w:rPr>
          <w:szCs w:val="22"/>
          <w:lang w:val="fr-BE"/>
        </w:rPr>
      </w:pPr>
      <w:r w:rsidRPr="004167D3">
        <w:rPr>
          <w:szCs w:val="22"/>
          <w:lang w:val="fr-BE"/>
        </w:rPr>
        <w:t>Le pouvoir adjudicateur qui demande l’application de la clause de réexamen, doit le faire au plus tard nonante jours à compter de la date de la notification à l’adjudicataire du procès-verbal de la réception provisoire du marché en vue de la révision du marché.</w:t>
      </w:r>
      <w:r w:rsidRPr="004167D3">
        <w:rPr>
          <w:rFonts w:ascii="Times New Roman" w:hAnsi="Times New Roman" w:cs="Times New Roman"/>
          <w:szCs w:val="22"/>
          <w:lang w:val="fr-BE"/>
        </w:rPr>
        <w:t>  </w:t>
      </w:r>
      <w:r w:rsidRPr="004167D3">
        <w:rPr>
          <w:szCs w:val="22"/>
          <w:lang w:val="fr-BE"/>
        </w:rPr>
        <w:t xml:space="preserve"> </w:t>
      </w:r>
    </w:p>
    <w:p w14:paraId="17CFEBA0" w14:textId="3B131E05" w:rsidR="004167D3" w:rsidRPr="004167D3" w:rsidRDefault="004167D3" w:rsidP="00625BBB">
      <w:pPr>
        <w:spacing w:before="200" w:line="240" w:lineRule="auto"/>
        <w:jc w:val="both"/>
        <w:rPr>
          <w:szCs w:val="22"/>
          <w:lang w:val="fr-BE"/>
        </w:rPr>
      </w:pPr>
      <w:r w:rsidRPr="004167D3">
        <w:rPr>
          <w:szCs w:val="22"/>
          <w:lang w:val="fr-BE"/>
        </w:rPr>
        <w:t>Lorsque les conditions seront réunies, l’adjudicataire pourra obtenir soit une réduction des délais d’exécution, soit, lorsqu’il s’agit d’un avantage très important, en une autre forme de révision des dispositions du marché ou en la résiliation du marché.</w:t>
      </w:r>
      <w:r w:rsidRPr="004167D3">
        <w:rPr>
          <w:rFonts w:ascii="Times New Roman" w:hAnsi="Times New Roman" w:cs="Times New Roman"/>
          <w:szCs w:val="22"/>
          <w:lang w:val="fr-BE"/>
        </w:rPr>
        <w:t>  </w:t>
      </w:r>
    </w:p>
    <w:p w14:paraId="3E113618" w14:textId="2DF00B3F" w:rsidR="00625BBB" w:rsidRPr="002E704D" w:rsidRDefault="00625BBB" w:rsidP="00D77E91">
      <w:pPr>
        <w:pStyle w:val="Vade-mecumtitre2"/>
      </w:pPr>
      <w:bookmarkStart w:id="407" w:name="_Toc113544466"/>
      <w:bookmarkStart w:id="408" w:name="_Toc114066768"/>
      <w:bookmarkStart w:id="409" w:name="_Toc116387765"/>
      <w:bookmarkStart w:id="410" w:name="_Toc117603229"/>
      <w:r w:rsidRPr="002E704D">
        <w:t xml:space="preserve">A13.5 </w:t>
      </w:r>
      <w:bookmarkEnd w:id="407"/>
      <w:bookmarkEnd w:id="408"/>
      <w:r w:rsidR="00D77E91" w:rsidRPr="00DD10A4">
        <w:t>Faits du pouvoir adjudicateur ou de l’adjudicataire</w:t>
      </w:r>
      <w:r w:rsidR="00D77E91" w:rsidRPr="00DD10A4">
        <w:rPr>
          <w:rFonts w:ascii="Times New Roman" w:hAnsi="Times New Roman" w:cs="Times New Roman"/>
        </w:rPr>
        <w:t> </w:t>
      </w:r>
      <w:bookmarkEnd w:id="409"/>
      <w:bookmarkEnd w:id="410"/>
    </w:p>
    <w:p w14:paraId="44EA3D7C" w14:textId="7F04E27D" w:rsidR="00DD10A4" w:rsidRPr="00DD10A4" w:rsidRDefault="00DD10A4" w:rsidP="00DD10A4">
      <w:pPr>
        <w:spacing w:before="200" w:line="240" w:lineRule="auto"/>
        <w:jc w:val="both"/>
        <w:rPr>
          <w:szCs w:val="22"/>
          <w:lang w:val="fr-BE"/>
        </w:rPr>
      </w:pPr>
      <w:r w:rsidRPr="00DD10A4">
        <w:rPr>
          <w:szCs w:val="22"/>
          <w:lang w:val="fr-BE"/>
        </w:rPr>
        <w:t>Lorsque l’adjudicataire ou le pouvoir adjudicateur a subi un retard ou un préjudice suite aux carences, lenteurs ou faits quelconques qui peuvent être imputés à l’autre partie,</w:t>
      </w:r>
      <w:r w:rsidRPr="00DD10A4">
        <w:rPr>
          <w:rFonts w:ascii="Times New Roman" w:hAnsi="Times New Roman" w:cs="Times New Roman"/>
          <w:szCs w:val="22"/>
          <w:lang w:val="fr-BE"/>
        </w:rPr>
        <w:t> </w:t>
      </w:r>
      <w:r w:rsidRPr="00DD10A4">
        <w:rPr>
          <w:szCs w:val="22"/>
          <w:lang w:val="fr-BE"/>
        </w:rPr>
        <w:t xml:space="preserve"> l</w:t>
      </w:r>
      <w:r w:rsidRPr="00DD10A4">
        <w:rPr>
          <w:rFonts w:cs="Roboto"/>
          <w:szCs w:val="22"/>
          <w:lang w:val="fr-BE"/>
        </w:rPr>
        <w:t>’</w:t>
      </w:r>
      <w:r w:rsidRPr="00DD10A4">
        <w:rPr>
          <w:szCs w:val="22"/>
          <w:lang w:val="fr-BE"/>
        </w:rPr>
        <w:t>adjudicataire ou l</w:t>
      </w:r>
      <w:r w:rsidRPr="00DD10A4">
        <w:rPr>
          <w:rFonts w:cs="Roboto"/>
          <w:szCs w:val="22"/>
          <w:lang w:val="fr-BE"/>
        </w:rPr>
        <w:t>’</w:t>
      </w:r>
      <w:r w:rsidRPr="00DD10A4">
        <w:rPr>
          <w:szCs w:val="22"/>
          <w:lang w:val="fr-BE"/>
        </w:rPr>
        <w:t>adjudicateur pourra, lorsque les conditions seront r</w:t>
      </w:r>
      <w:r w:rsidRPr="00DD10A4">
        <w:rPr>
          <w:rFonts w:cs="Roboto"/>
          <w:szCs w:val="22"/>
          <w:lang w:val="fr-BE"/>
        </w:rPr>
        <w:t>é</w:t>
      </w:r>
      <w:r w:rsidRPr="00DD10A4">
        <w:rPr>
          <w:szCs w:val="22"/>
          <w:lang w:val="fr-BE"/>
        </w:rPr>
        <w:t>unies,</w:t>
      </w:r>
      <w:r w:rsidRPr="00DD10A4">
        <w:rPr>
          <w:rFonts w:ascii="Times New Roman" w:hAnsi="Times New Roman" w:cs="Times New Roman"/>
          <w:szCs w:val="22"/>
          <w:lang w:val="fr-BE"/>
        </w:rPr>
        <w:t> </w:t>
      </w:r>
      <w:r w:rsidRPr="00DD10A4">
        <w:rPr>
          <w:szCs w:val="22"/>
          <w:lang w:val="fr-BE"/>
        </w:rPr>
        <w:t xml:space="preserve"> obtenir</w:t>
      </w:r>
      <w:r w:rsidRPr="00DD10A4">
        <w:rPr>
          <w:rFonts w:ascii="Times New Roman" w:hAnsi="Times New Roman" w:cs="Times New Roman"/>
          <w:szCs w:val="22"/>
          <w:lang w:val="fr-BE"/>
        </w:rPr>
        <w:t> </w:t>
      </w:r>
      <w:r w:rsidRPr="00DD10A4">
        <w:rPr>
          <w:szCs w:val="22"/>
          <w:lang w:val="fr-BE"/>
        </w:rPr>
        <w:t>une ou plusieurs mesure(s) suivante(s):</w:t>
      </w:r>
      <w:r w:rsidRPr="00DD10A4">
        <w:rPr>
          <w:rFonts w:ascii="Times New Roman" w:hAnsi="Times New Roman" w:cs="Times New Roman"/>
          <w:szCs w:val="22"/>
          <w:lang w:val="fr-BE"/>
        </w:rPr>
        <w:t>  </w:t>
      </w:r>
      <w:r w:rsidRPr="00DD10A4">
        <w:rPr>
          <w:szCs w:val="22"/>
          <w:lang w:val="fr-BE"/>
        </w:rPr>
        <w:t xml:space="preserve"> </w:t>
      </w:r>
    </w:p>
    <w:p w14:paraId="2EFA6477" w14:textId="0ECE027E" w:rsidR="00DD10A4" w:rsidRPr="00DD10A4" w:rsidRDefault="00DD10A4" w:rsidP="00DD10A4">
      <w:pPr>
        <w:spacing w:before="200" w:line="240" w:lineRule="auto"/>
        <w:jc w:val="both"/>
        <w:rPr>
          <w:szCs w:val="22"/>
          <w:lang w:val="fr-BE"/>
        </w:rPr>
      </w:pPr>
      <w:r w:rsidRPr="00DD10A4">
        <w:rPr>
          <w:szCs w:val="22"/>
          <w:lang w:val="fr-BE"/>
        </w:rPr>
        <w:t>1°</w:t>
      </w:r>
      <w:r w:rsidRPr="00DD10A4">
        <w:rPr>
          <w:szCs w:val="22"/>
          <w:lang w:val="fr-BE"/>
        </w:rPr>
        <w:tab/>
        <w:t>la révision des dispositions contractuelles, en ce compris la prolongation ou la réduction des délais d’exécution ;</w:t>
      </w:r>
      <w:r w:rsidRPr="00DD10A4">
        <w:rPr>
          <w:rFonts w:ascii="Times New Roman" w:hAnsi="Times New Roman" w:cs="Times New Roman"/>
          <w:szCs w:val="22"/>
          <w:lang w:val="fr-BE"/>
        </w:rPr>
        <w:t> </w:t>
      </w:r>
      <w:r w:rsidRPr="00DD10A4">
        <w:rPr>
          <w:szCs w:val="22"/>
          <w:lang w:val="fr-BE"/>
        </w:rPr>
        <w:t xml:space="preserve"> </w:t>
      </w:r>
    </w:p>
    <w:p w14:paraId="5A823EE7" w14:textId="1055F6F6" w:rsidR="00DD10A4" w:rsidRPr="00DD10A4" w:rsidRDefault="00DD10A4" w:rsidP="00DD10A4">
      <w:pPr>
        <w:spacing w:before="200" w:line="240" w:lineRule="auto"/>
        <w:jc w:val="both"/>
        <w:rPr>
          <w:szCs w:val="22"/>
          <w:lang w:val="fr-BE"/>
        </w:rPr>
      </w:pPr>
      <w:r w:rsidRPr="00DD10A4">
        <w:rPr>
          <w:szCs w:val="22"/>
          <w:lang w:val="fr-BE"/>
        </w:rPr>
        <w:t>2°</w:t>
      </w:r>
      <w:r w:rsidRPr="00DD10A4">
        <w:rPr>
          <w:szCs w:val="22"/>
          <w:lang w:val="fr-BE"/>
        </w:rPr>
        <w:tab/>
        <w:t>des dommages et intérêts ;</w:t>
      </w:r>
      <w:r w:rsidRPr="00DD10A4">
        <w:rPr>
          <w:rFonts w:ascii="Times New Roman" w:hAnsi="Times New Roman" w:cs="Times New Roman"/>
          <w:szCs w:val="22"/>
          <w:lang w:val="fr-BE"/>
        </w:rPr>
        <w:t> </w:t>
      </w:r>
      <w:r w:rsidRPr="00DD10A4">
        <w:rPr>
          <w:szCs w:val="22"/>
          <w:lang w:val="fr-BE"/>
        </w:rPr>
        <w:t xml:space="preserve"> </w:t>
      </w:r>
    </w:p>
    <w:p w14:paraId="11AC5348" w14:textId="76D34EA2" w:rsidR="00DD10A4" w:rsidRPr="008A1A48" w:rsidRDefault="00DD10A4" w:rsidP="00625BBB">
      <w:pPr>
        <w:spacing w:before="200" w:line="240" w:lineRule="auto"/>
        <w:jc w:val="both"/>
        <w:rPr>
          <w:szCs w:val="22"/>
          <w:lang w:val="fr-BE"/>
        </w:rPr>
      </w:pPr>
      <w:r w:rsidRPr="00DD10A4">
        <w:rPr>
          <w:szCs w:val="22"/>
          <w:lang w:val="fr-BE"/>
        </w:rPr>
        <w:t>3°</w:t>
      </w:r>
      <w:r w:rsidRPr="00DD10A4">
        <w:rPr>
          <w:szCs w:val="22"/>
          <w:lang w:val="fr-BE"/>
        </w:rPr>
        <w:tab/>
        <w:t>la résiliation du marché.</w:t>
      </w:r>
      <w:r w:rsidRPr="00DD10A4">
        <w:rPr>
          <w:szCs w:val="22"/>
          <w:lang w:val="fr-BE"/>
        </w:rPr>
        <w:tab/>
      </w:r>
      <w:r w:rsidRPr="008A1A48">
        <w:rPr>
          <w:rFonts w:ascii="Times New Roman" w:hAnsi="Times New Roman" w:cs="Times New Roman"/>
          <w:szCs w:val="22"/>
          <w:lang w:val="fr-BE"/>
        </w:rPr>
        <w:t> </w:t>
      </w:r>
    </w:p>
    <w:p w14:paraId="2C9E93B9" w14:textId="77777777" w:rsidR="008A1A48" w:rsidRPr="008A1A48" w:rsidRDefault="008A1A48" w:rsidP="008A1A48">
      <w:pPr>
        <w:spacing w:before="200" w:line="240" w:lineRule="auto"/>
        <w:jc w:val="both"/>
        <w:rPr>
          <w:szCs w:val="22"/>
          <w:lang w:val="fr-BE"/>
        </w:rPr>
      </w:pPr>
      <w:r w:rsidRPr="008A1A48">
        <w:rPr>
          <w:szCs w:val="22"/>
          <w:lang w:val="fr-BE"/>
        </w:rPr>
        <w:t>Le pouvoir adjudicateur ou l’adjudicataire qui veut se baser sur cette clause de réexamen, doit dénoncer les faits ou les circonstances sur lesquels il se base, par écrit dans les trente jours de leur survenance ou de la date à laquelle l’adjudicataire ou l’adjudicateur aurait normalement dû en avoir connaissance. Il décrit de manière précise leur influence sur le déroulement et le coût du marché.</w:t>
      </w:r>
      <w:r w:rsidRPr="008A1A48">
        <w:rPr>
          <w:rFonts w:ascii="Times New Roman" w:hAnsi="Times New Roman" w:cs="Times New Roman"/>
          <w:szCs w:val="22"/>
          <w:lang w:val="fr-BE"/>
        </w:rPr>
        <w:t>   </w:t>
      </w:r>
      <w:r w:rsidRPr="008A1A48">
        <w:rPr>
          <w:szCs w:val="22"/>
          <w:lang w:val="fr-BE"/>
        </w:rPr>
        <w:t xml:space="preserve"> </w:t>
      </w:r>
    </w:p>
    <w:p w14:paraId="5302E50E" w14:textId="2F5B52AA" w:rsidR="008A1A48" w:rsidRPr="008A1A48" w:rsidRDefault="008A1A48" w:rsidP="008A1A48">
      <w:pPr>
        <w:spacing w:before="200" w:line="240" w:lineRule="auto"/>
        <w:jc w:val="both"/>
        <w:rPr>
          <w:szCs w:val="22"/>
          <w:lang w:val="fr-BE"/>
        </w:rPr>
      </w:pPr>
      <w:r w:rsidRPr="008A1A48">
        <w:rPr>
          <w:szCs w:val="22"/>
          <w:lang w:val="fr-BE"/>
        </w:rPr>
        <w:t>Sous peine de déchéance, l’adjudicataire doit transmettre par écrit au pouvoir adjudicateur la justification chiffrée de sa demande dans les délais suivants :</w:t>
      </w:r>
      <w:r w:rsidRPr="008A1A48">
        <w:rPr>
          <w:rFonts w:ascii="Times New Roman" w:hAnsi="Times New Roman" w:cs="Times New Roman"/>
          <w:szCs w:val="22"/>
          <w:lang w:val="fr-BE"/>
        </w:rPr>
        <w:t> </w:t>
      </w:r>
      <w:r w:rsidRPr="008A1A48">
        <w:rPr>
          <w:szCs w:val="22"/>
          <w:lang w:val="fr-BE"/>
        </w:rPr>
        <w:t xml:space="preserve"> </w:t>
      </w:r>
    </w:p>
    <w:p w14:paraId="550EB3AE" w14:textId="192417FA" w:rsidR="008A1A48" w:rsidRPr="008A1A48" w:rsidRDefault="008A1A48" w:rsidP="008A1A48">
      <w:pPr>
        <w:spacing w:before="200" w:line="240" w:lineRule="auto"/>
        <w:jc w:val="both"/>
        <w:rPr>
          <w:szCs w:val="22"/>
          <w:lang w:val="fr-BE"/>
        </w:rPr>
      </w:pPr>
      <w:r w:rsidRPr="008A1A48">
        <w:rPr>
          <w:szCs w:val="22"/>
          <w:lang w:val="fr-BE"/>
        </w:rPr>
        <w:t>1°</w:t>
      </w:r>
      <w:r w:rsidRPr="008A1A48">
        <w:rPr>
          <w:szCs w:val="22"/>
          <w:lang w:val="fr-BE"/>
        </w:rPr>
        <w:tab/>
        <w:t>avant l’expiration des délais contractuels pour obtenir une prolongation des délais d’exécution ou la résiliation du marché ;</w:t>
      </w:r>
      <w:r w:rsidRPr="008A1A48">
        <w:rPr>
          <w:rFonts w:ascii="Times New Roman" w:hAnsi="Times New Roman" w:cs="Times New Roman"/>
          <w:szCs w:val="22"/>
          <w:lang w:val="fr-BE"/>
        </w:rPr>
        <w:t> </w:t>
      </w:r>
      <w:r w:rsidRPr="008A1A48">
        <w:rPr>
          <w:szCs w:val="22"/>
          <w:lang w:val="fr-BE"/>
        </w:rPr>
        <w:t xml:space="preserve"> </w:t>
      </w:r>
    </w:p>
    <w:p w14:paraId="6FECDE90" w14:textId="2C07177F" w:rsidR="008A1A48" w:rsidRPr="008A1A48" w:rsidRDefault="008A1A48" w:rsidP="008A1A48">
      <w:pPr>
        <w:spacing w:before="200" w:line="240" w:lineRule="auto"/>
        <w:jc w:val="both"/>
        <w:rPr>
          <w:szCs w:val="22"/>
          <w:lang w:val="fr-BE"/>
        </w:rPr>
      </w:pPr>
      <w:r w:rsidRPr="008A1A48">
        <w:rPr>
          <w:szCs w:val="22"/>
          <w:lang w:val="fr-BE"/>
        </w:rPr>
        <w:t>2°</w:t>
      </w:r>
      <w:r w:rsidRPr="008A1A48">
        <w:rPr>
          <w:szCs w:val="22"/>
          <w:lang w:val="fr-BE"/>
        </w:rPr>
        <w:tab/>
        <w:t>au plus tard nonante jours à compter de la date de la notification à l’adjudicataire du procès-verbal de la réception provisoire du marché, pour obtenir une révision du marché autre que celle visée au 1° ou des dommages et intérêts;</w:t>
      </w:r>
      <w:r w:rsidRPr="008A1A48">
        <w:rPr>
          <w:rFonts w:ascii="Times New Roman" w:hAnsi="Times New Roman" w:cs="Times New Roman"/>
          <w:szCs w:val="22"/>
          <w:lang w:val="fr-BE"/>
        </w:rPr>
        <w:t> </w:t>
      </w:r>
      <w:r w:rsidRPr="008A1A48">
        <w:rPr>
          <w:szCs w:val="22"/>
          <w:lang w:val="fr-BE"/>
        </w:rPr>
        <w:t xml:space="preserve"> </w:t>
      </w:r>
    </w:p>
    <w:p w14:paraId="01E09DA5" w14:textId="6D2333C5" w:rsidR="008A1A48" w:rsidRPr="008A1A48" w:rsidRDefault="008A1A48" w:rsidP="008A1A48">
      <w:pPr>
        <w:spacing w:before="200" w:line="240" w:lineRule="auto"/>
        <w:jc w:val="both"/>
        <w:rPr>
          <w:szCs w:val="22"/>
          <w:lang w:val="fr-BE"/>
        </w:rPr>
      </w:pPr>
      <w:r w:rsidRPr="008A1A48">
        <w:rPr>
          <w:szCs w:val="22"/>
          <w:lang w:val="fr-BE"/>
        </w:rPr>
        <w:t>3°</w:t>
      </w:r>
      <w:r w:rsidRPr="008A1A48">
        <w:rPr>
          <w:szCs w:val="22"/>
          <w:lang w:val="fr-BE"/>
        </w:rPr>
        <w:tab/>
        <w:t>au plus tard nonante jours après l’expiration de la période de garantie, pour obtenir une révision du marché autre que celle visée au 1° ou des dommages et intérêts, lorsque ladite demande d’application de la clause de réexamen trouve son origine dans des faits ou circonstances survenus pendant la période de garantie.</w:t>
      </w:r>
      <w:r w:rsidRPr="008A1A48">
        <w:rPr>
          <w:rFonts w:ascii="Times New Roman" w:hAnsi="Times New Roman" w:cs="Times New Roman"/>
          <w:szCs w:val="22"/>
          <w:lang w:val="fr-BE"/>
        </w:rPr>
        <w:t> </w:t>
      </w:r>
    </w:p>
    <w:p w14:paraId="627491CB" w14:textId="48BF6CD9" w:rsidR="00625BBB" w:rsidRPr="004936E3" w:rsidRDefault="00625BBB" w:rsidP="008A1A48">
      <w:pPr>
        <w:pStyle w:val="Vade-mecumtitre2"/>
      </w:pPr>
      <w:bookmarkStart w:id="411" w:name="_Toc114066769"/>
      <w:bookmarkStart w:id="412" w:name="_Toc116387766"/>
      <w:bookmarkStart w:id="413" w:name="_Toc117603230"/>
      <w:r w:rsidRPr="004936E3">
        <w:t xml:space="preserve">A13.6 </w:t>
      </w:r>
      <w:bookmarkEnd w:id="411"/>
      <w:r w:rsidR="008A1A48" w:rsidRPr="008A1A48">
        <w:t>Indemnités suite aux suspensions ordonnées par le pouvoir adjudicateur et incidents durant l’exécution</w:t>
      </w:r>
      <w:r w:rsidR="008A1A48" w:rsidRPr="008A1A48">
        <w:rPr>
          <w:rFonts w:ascii="Times New Roman" w:hAnsi="Times New Roman" w:cs="Times New Roman"/>
        </w:rPr>
        <w:t> </w:t>
      </w:r>
      <w:bookmarkEnd w:id="412"/>
      <w:bookmarkEnd w:id="413"/>
    </w:p>
    <w:p w14:paraId="1D1E520C" w14:textId="037A5087" w:rsidR="004D01E2" w:rsidRPr="004D01E2" w:rsidRDefault="004D01E2" w:rsidP="004D01E2">
      <w:pPr>
        <w:spacing w:before="200" w:line="240" w:lineRule="auto"/>
        <w:jc w:val="both"/>
        <w:rPr>
          <w:szCs w:val="22"/>
          <w:lang w:val="fr-BE"/>
        </w:rPr>
      </w:pPr>
      <w:r w:rsidRPr="004D01E2">
        <w:rPr>
          <w:szCs w:val="22"/>
          <w:lang w:val="fr-BE"/>
        </w:rPr>
        <w:t>Le pouvoir adjudicateur se réserve le droit de suspendre l’exécution du marché pendant une période donnée, notamment lorsque le marché ne peut pas être exécuté sans inconvénient. Dans ce cas, le délai d’exécution est prolongé à concurrence du retard occasionné par cette suspension, pour autant que le délai contractuel ne soit pas expiré.</w:t>
      </w:r>
      <w:r w:rsidRPr="004D01E2">
        <w:rPr>
          <w:rFonts w:ascii="Times New Roman" w:hAnsi="Times New Roman" w:cs="Times New Roman"/>
          <w:szCs w:val="22"/>
          <w:lang w:val="fr-BE"/>
        </w:rPr>
        <w:t> </w:t>
      </w:r>
      <w:r w:rsidRPr="004D01E2">
        <w:rPr>
          <w:szCs w:val="22"/>
          <w:lang w:val="fr-BE"/>
        </w:rPr>
        <w:t xml:space="preserve"> </w:t>
      </w:r>
    </w:p>
    <w:p w14:paraId="05751378" w14:textId="09EEE29D" w:rsidR="004D01E2" w:rsidRPr="004D01E2" w:rsidRDefault="004D01E2" w:rsidP="004D01E2">
      <w:pPr>
        <w:spacing w:before="200" w:line="240" w:lineRule="auto"/>
        <w:jc w:val="both"/>
        <w:rPr>
          <w:szCs w:val="22"/>
          <w:lang w:val="fr-BE"/>
        </w:rPr>
      </w:pPr>
      <w:r w:rsidRPr="004D01E2">
        <w:rPr>
          <w:szCs w:val="22"/>
          <w:lang w:val="fr-BE"/>
        </w:rPr>
        <w:t>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r w:rsidRPr="004D01E2">
        <w:rPr>
          <w:rFonts w:ascii="Times New Roman" w:hAnsi="Times New Roman" w:cs="Times New Roman"/>
          <w:szCs w:val="22"/>
          <w:lang w:val="fr-BE"/>
        </w:rPr>
        <w:t> </w:t>
      </w:r>
      <w:r w:rsidRPr="004D01E2">
        <w:rPr>
          <w:szCs w:val="22"/>
          <w:lang w:val="fr-BE"/>
        </w:rPr>
        <w:t xml:space="preserve"> </w:t>
      </w:r>
    </w:p>
    <w:p w14:paraId="537C4986" w14:textId="0B7FE811" w:rsidR="004D01E2" w:rsidRDefault="004D01E2" w:rsidP="004D01E2">
      <w:pPr>
        <w:spacing w:before="200" w:line="240" w:lineRule="auto"/>
        <w:jc w:val="both"/>
        <w:rPr>
          <w:rFonts w:ascii="Times New Roman" w:hAnsi="Times New Roman" w:cs="Times New Roman"/>
          <w:szCs w:val="22"/>
          <w:lang w:val="fr-BE"/>
        </w:rPr>
      </w:pPr>
      <w:r w:rsidRPr="004D01E2">
        <w:rPr>
          <w:szCs w:val="22"/>
          <w:lang w:val="fr-BE"/>
        </w:rPr>
        <w:t>L’adjudicataire a droit à des dommages et intérêts pour les suspensions ordonnées par le pouvoir adjudicateur dans les conditions cumulatives suivantes</w:t>
      </w:r>
      <w:r w:rsidR="00142F56">
        <w:rPr>
          <w:szCs w:val="22"/>
          <w:lang w:val="fr-BE"/>
        </w:rPr>
        <w:t xml:space="preserve"> </w:t>
      </w:r>
      <w:r w:rsidRPr="004D01E2">
        <w:rPr>
          <w:szCs w:val="22"/>
          <w:lang w:val="fr-BE"/>
        </w:rPr>
        <w:t>:</w:t>
      </w:r>
      <w:r w:rsidRPr="004D01E2">
        <w:rPr>
          <w:rFonts w:ascii="Times New Roman" w:hAnsi="Times New Roman" w:cs="Times New Roman"/>
          <w:szCs w:val="22"/>
          <w:lang w:val="fr-BE"/>
        </w:rPr>
        <w:t> </w:t>
      </w:r>
    </w:p>
    <w:p w14:paraId="527C14DA" w14:textId="4A454ABD" w:rsidR="00AA18C1" w:rsidRPr="00AA18C1" w:rsidRDefault="00AA18C1" w:rsidP="00AA18C1">
      <w:pPr>
        <w:spacing w:before="200" w:line="240" w:lineRule="auto"/>
        <w:jc w:val="both"/>
        <w:rPr>
          <w:szCs w:val="22"/>
          <w:lang w:val="fr-BE"/>
        </w:rPr>
      </w:pPr>
      <w:r w:rsidRPr="00AA18C1">
        <w:rPr>
          <w:szCs w:val="22"/>
          <w:lang w:val="fr-BE"/>
        </w:rPr>
        <w:t>1°</w:t>
      </w:r>
      <w:r w:rsidRPr="00AA18C1">
        <w:rPr>
          <w:szCs w:val="22"/>
          <w:lang w:val="fr-BE"/>
        </w:rPr>
        <w:tab/>
        <w:t>la suspension dépasse au total un vingtième du délai d’exécution et au moins dix jours ouvrables ou quinze jours de calendrier, selon que le délai d’exécution est exprimé en jours ouvrables ou en jours de calendrier</w:t>
      </w:r>
      <w:r w:rsidR="00142F56">
        <w:rPr>
          <w:szCs w:val="22"/>
          <w:lang w:val="fr-BE"/>
        </w:rPr>
        <w:t xml:space="preserve"> </w:t>
      </w:r>
      <w:r w:rsidRPr="00AA18C1">
        <w:rPr>
          <w:szCs w:val="22"/>
          <w:lang w:val="fr-BE"/>
        </w:rPr>
        <w:t>;</w:t>
      </w:r>
      <w:r w:rsidRPr="00AA18C1">
        <w:rPr>
          <w:rFonts w:ascii="Times New Roman" w:hAnsi="Times New Roman" w:cs="Times New Roman"/>
          <w:szCs w:val="22"/>
          <w:lang w:val="fr-BE"/>
        </w:rPr>
        <w:t> </w:t>
      </w:r>
      <w:r w:rsidRPr="00AA18C1">
        <w:rPr>
          <w:szCs w:val="22"/>
          <w:lang w:val="fr-BE"/>
        </w:rPr>
        <w:t xml:space="preserve"> </w:t>
      </w:r>
    </w:p>
    <w:p w14:paraId="09BE2AD4" w14:textId="7D3400E3" w:rsidR="00AA18C1" w:rsidRPr="00AA18C1" w:rsidRDefault="00AA18C1" w:rsidP="00AA18C1">
      <w:pPr>
        <w:spacing w:before="200" w:line="240" w:lineRule="auto"/>
        <w:jc w:val="both"/>
        <w:rPr>
          <w:szCs w:val="22"/>
          <w:lang w:val="fr-BE"/>
        </w:rPr>
      </w:pPr>
      <w:r w:rsidRPr="00AA18C1">
        <w:rPr>
          <w:szCs w:val="22"/>
          <w:lang w:val="fr-BE"/>
        </w:rPr>
        <w:t>2°</w:t>
      </w:r>
      <w:r w:rsidRPr="00AA18C1">
        <w:rPr>
          <w:szCs w:val="22"/>
          <w:lang w:val="fr-BE"/>
        </w:rPr>
        <w:tab/>
        <w:t>la suspension n’est pas due à des conditions météorologiques défavorables ou à d’autres circonstances auxquelles le pouvoir adjudicateur est resté étranger et qui, à la discrétion du pouvoir adjudicateur, constituent un obstacle à continuer l’exécution du marché à ce moment</w:t>
      </w:r>
      <w:r w:rsidR="00142F56">
        <w:rPr>
          <w:szCs w:val="22"/>
          <w:lang w:val="fr-BE"/>
        </w:rPr>
        <w:t xml:space="preserve"> </w:t>
      </w:r>
      <w:r w:rsidRPr="00AA18C1">
        <w:rPr>
          <w:szCs w:val="22"/>
          <w:lang w:val="fr-BE"/>
        </w:rPr>
        <w:t>;</w:t>
      </w:r>
      <w:r w:rsidRPr="00AA18C1">
        <w:rPr>
          <w:rFonts w:ascii="Times New Roman" w:hAnsi="Times New Roman" w:cs="Times New Roman"/>
          <w:szCs w:val="22"/>
          <w:lang w:val="fr-BE"/>
        </w:rPr>
        <w:t> </w:t>
      </w:r>
    </w:p>
    <w:p w14:paraId="7653FAD6" w14:textId="6F1C1C82" w:rsidR="00AA18C1" w:rsidRPr="00AA18C1" w:rsidRDefault="00AA18C1" w:rsidP="00AA18C1">
      <w:pPr>
        <w:spacing w:before="200" w:line="240" w:lineRule="auto"/>
        <w:jc w:val="both"/>
        <w:rPr>
          <w:szCs w:val="22"/>
          <w:lang w:val="fr-BE"/>
        </w:rPr>
      </w:pPr>
      <w:r w:rsidRPr="00AA18C1">
        <w:rPr>
          <w:szCs w:val="22"/>
          <w:lang w:val="fr-BE"/>
        </w:rPr>
        <w:t>3°</w:t>
      </w:r>
      <w:r w:rsidRPr="00AA18C1">
        <w:rPr>
          <w:szCs w:val="22"/>
          <w:lang w:val="fr-BE"/>
        </w:rPr>
        <w:tab/>
        <w:t>la suspension a lieu endéans le délai d’exécution du marché.</w:t>
      </w:r>
      <w:r w:rsidRPr="00AA18C1">
        <w:rPr>
          <w:rFonts w:ascii="Times New Roman" w:hAnsi="Times New Roman" w:cs="Times New Roman"/>
          <w:szCs w:val="22"/>
          <w:lang w:val="fr-BE"/>
        </w:rPr>
        <w:t> </w:t>
      </w:r>
      <w:r w:rsidRPr="00AA18C1">
        <w:rPr>
          <w:szCs w:val="22"/>
          <w:lang w:val="fr-BE"/>
        </w:rPr>
        <w:t xml:space="preserve"> </w:t>
      </w:r>
    </w:p>
    <w:p w14:paraId="19A000C4" w14:textId="537380B6" w:rsidR="00AA18C1" w:rsidRPr="00AA18C1" w:rsidRDefault="00AA18C1" w:rsidP="00AA18C1">
      <w:pPr>
        <w:spacing w:before="200" w:line="240" w:lineRule="auto"/>
        <w:jc w:val="both"/>
        <w:rPr>
          <w:szCs w:val="22"/>
          <w:lang w:val="fr-BE"/>
        </w:rPr>
      </w:pPr>
      <w:r w:rsidRPr="00AA18C1">
        <w:rPr>
          <w:szCs w:val="22"/>
          <w:lang w:val="fr-BE"/>
        </w:rPr>
        <w:t>Dans les trente jours de leur survenance ou de la date à laquelle l’adjudicataire ou le pouvoir adjudicateur aurait normalement dû en avoir connaissance, l’adjudicataire ou le pouvoir adjudicateur qui veut se baser sur cette clause de réexamen, dénonce les faits ou les circonstances par écrit.</w:t>
      </w:r>
      <w:r w:rsidRPr="00AA18C1">
        <w:rPr>
          <w:rFonts w:ascii="Times New Roman" w:hAnsi="Times New Roman" w:cs="Times New Roman"/>
          <w:szCs w:val="22"/>
          <w:lang w:val="fr-BE"/>
        </w:rPr>
        <w:t>   </w:t>
      </w:r>
      <w:r w:rsidRPr="00AA18C1">
        <w:rPr>
          <w:szCs w:val="22"/>
          <w:lang w:val="fr-BE"/>
        </w:rPr>
        <w:t xml:space="preserve"> </w:t>
      </w:r>
    </w:p>
    <w:p w14:paraId="7861FBDE" w14:textId="1B355F7E" w:rsidR="00AA18C1" w:rsidRPr="00AA18C1" w:rsidRDefault="00AA18C1" w:rsidP="00AA18C1">
      <w:pPr>
        <w:spacing w:before="200" w:line="240" w:lineRule="auto"/>
        <w:jc w:val="both"/>
        <w:rPr>
          <w:szCs w:val="22"/>
          <w:lang w:val="fr-BE"/>
        </w:rPr>
      </w:pPr>
      <w:r w:rsidRPr="00AA18C1">
        <w:rPr>
          <w:szCs w:val="22"/>
          <w:lang w:val="fr-BE"/>
        </w:rPr>
        <w:t>Sous peine de déchéance, l’adjudicataire doit transmettre par écrit au pouvoir adjudicateur la justification chiffrée de sa demande dans les délais suivants</w:t>
      </w:r>
      <w:r w:rsidR="00142F56">
        <w:rPr>
          <w:szCs w:val="22"/>
          <w:lang w:val="fr-BE"/>
        </w:rPr>
        <w:t xml:space="preserve"> </w:t>
      </w:r>
      <w:r w:rsidRPr="00AA18C1">
        <w:rPr>
          <w:szCs w:val="22"/>
          <w:lang w:val="fr-BE"/>
        </w:rPr>
        <w:t>:</w:t>
      </w:r>
      <w:r w:rsidRPr="00AA18C1">
        <w:rPr>
          <w:rFonts w:ascii="Times New Roman" w:hAnsi="Times New Roman" w:cs="Times New Roman"/>
          <w:szCs w:val="22"/>
          <w:lang w:val="fr-BE"/>
        </w:rPr>
        <w:t> </w:t>
      </w:r>
      <w:r w:rsidRPr="00AA18C1">
        <w:rPr>
          <w:szCs w:val="22"/>
          <w:lang w:val="fr-BE"/>
        </w:rPr>
        <w:t xml:space="preserve"> </w:t>
      </w:r>
    </w:p>
    <w:p w14:paraId="7A7396CD" w14:textId="410674F5" w:rsidR="00AA18C1" w:rsidRPr="00AA18C1" w:rsidRDefault="00AA18C1" w:rsidP="00AA18C1">
      <w:pPr>
        <w:spacing w:before="200" w:line="240" w:lineRule="auto"/>
        <w:jc w:val="both"/>
        <w:rPr>
          <w:szCs w:val="22"/>
          <w:lang w:val="fr-BE"/>
        </w:rPr>
      </w:pPr>
      <w:r w:rsidRPr="00AA18C1">
        <w:rPr>
          <w:szCs w:val="22"/>
          <w:lang w:val="fr-BE"/>
        </w:rPr>
        <w:t>1°</w:t>
      </w:r>
      <w:r w:rsidRPr="00AA18C1">
        <w:rPr>
          <w:szCs w:val="22"/>
          <w:lang w:val="fr-BE"/>
        </w:rPr>
        <w:tab/>
        <w:t>avant l’expiration des délais contractuels pour obtenir une prolongation des délais d’exécution ou la résiliation du marché</w:t>
      </w:r>
      <w:r w:rsidR="00142F56">
        <w:rPr>
          <w:szCs w:val="22"/>
          <w:lang w:val="fr-BE"/>
        </w:rPr>
        <w:t xml:space="preserve"> </w:t>
      </w:r>
      <w:r w:rsidRPr="00AA18C1">
        <w:rPr>
          <w:szCs w:val="22"/>
          <w:lang w:val="fr-BE"/>
        </w:rPr>
        <w:t>;</w:t>
      </w:r>
      <w:r w:rsidRPr="00AA18C1">
        <w:rPr>
          <w:rFonts w:ascii="Times New Roman" w:hAnsi="Times New Roman" w:cs="Times New Roman"/>
          <w:szCs w:val="22"/>
          <w:lang w:val="fr-BE"/>
        </w:rPr>
        <w:t> </w:t>
      </w:r>
      <w:r w:rsidRPr="00AA18C1">
        <w:rPr>
          <w:szCs w:val="22"/>
          <w:lang w:val="fr-BE"/>
        </w:rPr>
        <w:t xml:space="preserve"> </w:t>
      </w:r>
    </w:p>
    <w:p w14:paraId="5CA3737C" w14:textId="57E09A9C" w:rsidR="00AA18C1" w:rsidRPr="00AA18C1" w:rsidRDefault="00AA18C1" w:rsidP="00AA18C1">
      <w:pPr>
        <w:spacing w:before="200" w:line="240" w:lineRule="auto"/>
        <w:jc w:val="both"/>
        <w:rPr>
          <w:szCs w:val="22"/>
          <w:lang w:val="fr-BE"/>
        </w:rPr>
      </w:pPr>
      <w:r w:rsidRPr="00AA18C1">
        <w:rPr>
          <w:szCs w:val="22"/>
          <w:lang w:val="fr-BE"/>
        </w:rPr>
        <w:t>2° au plus tard nonante jours à compter de la date de la notification à l’adjudicataire du procès-verbal de la réception provisoire du marché pour obtenir une révision du marché autre que celle visée au 1° ou des dommages et intérêts</w:t>
      </w:r>
      <w:r w:rsidR="00142F56">
        <w:rPr>
          <w:szCs w:val="22"/>
          <w:lang w:val="fr-BE"/>
        </w:rPr>
        <w:t xml:space="preserve"> </w:t>
      </w:r>
      <w:r w:rsidRPr="00AA18C1">
        <w:rPr>
          <w:szCs w:val="22"/>
          <w:lang w:val="fr-BE"/>
        </w:rPr>
        <w:t>;</w:t>
      </w:r>
      <w:r w:rsidRPr="00AA18C1">
        <w:rPr>
          <w:rFonts w:ascii="Times New Roman" w:hAnsi="Times New Roman" w:cs="Times New Roman"/>
          <w:szCs w:val="22"/>
          <w:lang w:val="fr-BE"/>
        </w:rPr>
        <w:t> </w:t>
      </w:r>
      <w:r w:rsidRPr="00AA18C1">
        <w:rPr>
          <w:szCs w:val="22"/>
          <w:lang w:val="fr-BE"/>
        </w:rPr>
        <w:t xml:space="preserve"> </w:t>
      </w:r>
    </w:p>
    <w:p w14:paraId="47C7B7EE" w14:textId="059251B0" w:rsidR="00AA18C1" w:rsidRPr="004D01E2" w:rsidRDefault="00AA18C1" w:rsidP="00AA18C1">
      <w:pPr>
        <w:spacing w:before="200" w:line="240" w:lineRule="auto"/>
        <w:jc w:val="both"/>
        <w:rPr>
          <w:szCs w:val="22"/>
          <w:lang w:val="fr-BE"/>
        </w:rPr>
      </w:pPr>
      <w:r w:rsidRPr="00AA18C1">
        <w:rPr>
          <w:szCs w:val="22"/>
          <w:lang w:val="fr-BE"/>
        </w:rPr>
        <w:t>3°</w:t>
      </w:r>
      <w:r w:rsidRPr="00AA18C1">
        <w:rPr>
          <w:szCs w:val="22"/>
          <w:lang w:val="fr-BE"/>
        </w:rPr>
        <w:tab/>
        <w:t>au plus tard nonante jours après l’expiration de la période de garantie, pour obtenir une révision du marché autre que celle visée au 1° ou des dommages et intérêts, lorsque ladite demande d’application de la clause de réexamen trouve son origine dans des faits ou circonstances survenu(e)s pendant la période de garantie.</w:t>
      </w:r>
      <w:r w:rsidRPr="00AA18C1">
        <w:rPr>
          <w:rFonts w:ascii="Times New Roman" w:hAnsi="Times New Roman" w:cs="Times New Roman"/>
          <w:szCs w:val="22"/>
          <w:lang w:val="fr-BE"/>
        </w:rPr>
        <w:t> </w:t>
      </w:r>
    </w:p>
    <w:p w14:paraId="00CE18EA" w14:textId="00397ECE" w:rsidR="009875B8" w:rsidRPr="009875B8" w:rsidRDefault="009875B8" w:rsidP="0032340C">
      <w:pPr>
        <w:pStyle w:val="Vade-mecumtitre1"/>
        <w:numPr>
          <w:ilvl w:val="0"/>
          <w:numId w:val="0"/>
        </w:numPr>
        <w:ind w:left="432" w:hanging="432"/>
      </w:pPr>
      <w:bookmarkStart w:id="414" w:name="_Toc3886189"/>
      <w:bookmarkStart w:id="415" w:name="_Toc1972049"/>
      <w:bookmarkStart w:id="416" w:name="_Toc12453061"/>
      <w:bookmarkStart w:id="417" w:name="_Toc77719406"/>
      <w:bookmarkStart w:id="418" w:name="_Toc108509954"/>
      <w:bookmarkStart w:id="419" w:name="_Toc117603231"/>
      <w:bookmarkEnd w:id="377"/>
      <w:bookmarkEnd w:id="378"/>
      <w:bookmarkEnd w:id="379"/>
      <w:r w:rsidRPr="009875B8">
        <w:t xml:space="preserve">A14. </w:t>
      </w:r>
      <w:bookmarkEnd w:id="414"/>
      <w:bookmarkEnd w:id="415"/>
      <w:bookmarkEnd w:id="416"/>
      <w:bookmarkEnd w:id="417"/>
      <w:bookmarkEnd w:id="418"/>
      <w:r w:rsidR="00E602AB" w:rsidRPr="00E602AB">
        <w:t>Exécution des services</w:t>
      </w:r>
      <w:r w:rsidR="00E602AB" w:rsidRPr="00E602AB">
        <w:rPr>
          <w:rFonts w:ascii="Times New Roman" w:hAnsi="Times New Roman" w:cs="Times New Roman"/>
        </w:rPr>
        <w:t> </w:t>
      </w:r>
      <w:bookmarkEnd w:id="419"/>
    </w:p>
    <w:p w14:paraId="7D9E87F2" w14:textId="2AD0D0B9" w:rsidR="009875B8" w:rsidRPr="009875B8" w:rsidRDefault="009875B8" w:rsidP="00E602AB">
      <w:pPr>
        <w:pStyle w:val="Vade-mecumtitre2"/>
      </w:pPr>
      <w:bookmarkStart w:id="420" w:name="_Toc3886190"/>
      <w:bookmarkStart w:id="421" w:name="_Toc20047990"/>
      <w:bookmarkStart w:id="422" w:name="_Toc232236636"/>
      <w:bookmarkStart w:id="423" w:name="_Toc486513994"/>
      <w:bookmarkStart w:id="424" w:name="_Toc1972050"/>
      <w:bookmarkStart w:id="425" w:name="_Toc12453062"/>
      <w:bookmarkStart w:id="426" w:name="_Toc108509955"/>
      <w:bookmarkStart w:id="427" w:name="_Toc113544468"/>
      <w:bookmarkStart w:id="428" w:name="_Toc114066771"/>
      <w:bookmarkStart w:id="429" w:name="_Toc116387768"/>
      <w:bookmarkStart w:id="430" w:name="_Toc117603232"/>
      <w:r w:rsidRPr="009875B8">
        <w:t xml:space="preserve">A14.1 </w:t>
      </w:r>
      <w:bookmarkEnd w:id="420"/>
      <w:bookmarkEnd w:id="421"/>
      <w:bookmarkEnd w:id="422"/>
      <w:bookmarkEnd w:id="423"/>
      <w:bookmarkEnd w:id="424"/>
      <w:bookmarkEnd w:id="425"/>
      <w:bookmarkEnd w:id="426"/>
      <w:bookmarkEnd w:id="427"/>
      <w:bookmarkEnd w:id="428"/>
      <w:r w:rsidR="00E602AB" w:rsidRPr="00E602AB">
        <w:t>Délais et clauses</w:t>
      </w:r>
      <w:r w:rsidR="00E602AB" w:rsidRPr="00E602AB">
        <w:rPr>
          <w:rFonts w:ascii="Times New Roman" w:hAnsi="Times New Roman" w:cs="Times New Roman"/>
        </w:rPr>
        <w:t> </w:t>
      </w:r>
      <w:bookmarkEnd w:id="429"/>
      <w:bookmarkEnd w:id="430"/>
    </w:p>
    <w:p w14:paraId="71B207BD" w14:textId="17D39D84" w:rsidR="00E602AB" w:rsidRPr="00E602AB" w:rsidRDefault="00E602AB" w:rsidP="00E602AB">
      <w:pPr>
        <w:widowControl w:val="0"/>
        <w:snapToGrid w:val="0"/>
        <w:spacing w:after="120" w:line="240" w:lineRule="auto"/>
        <w:ind w:firstLine="11"/>
        <w:jc w:val="both"/>
        <w:rPr>
          <w:lang w:val="fr-BE"/>
        </w:rPr>
      </w:pPr>
      <w:r w:rsidRPr="00E602AB">
        <w:rPr>
          <w:lang w:val="fr-BE"/>
        </w:rPr>
        <w:t xml:space="preserve">Les services doivent être exécutés dans un </w:t>
      </w:r>
      <w:r w:rsidRPr="00142F56">
        <w:rPr>
          <w:lang w:val="fr-BE"/>
        </w:rPr>
        <w:t xml:space="preserve">délai de </w:t>
      </w:r>
      <w:r w:rsidR="00D30BA4" w:rsidRPr="00142F56">
        <w:rPr>
          <w:lang w:val="fr-BE"/>
        </w:rPr>
        <w:t>12</w:t>
      </w:r>
      <w:r w:rsidRPr="00142F56">
        <w:rPr>
          <w:lang w:val="fr-BE"/>
        </w:rPr>
        <w:t xml:space="preserve"> mois à compter du jour qui suit celui où l’adjudicataire a reçu la notification de la conclusion du marché. Aucune prolongation de la période contractuelle n’est prévue. Dans tous les cas, l’exécution des services prévus dans ce cahier de charges devrait être accomplie dans les délais prévus</w:t>
      </w:r>
      <w:r w:rsidRPr="00142F56">
        <w:rPr>
          <w:rFonts w:ascii="Times New Roman" w:hAnsi="Times New Roman" w:cs="Times New Roman"/>
          <w:lang w:val="fr-BE"/>
        </w:rPr>
        <w:t> </w:t>
      </w:r>
    </w:p>
    <w:p w14:paraId="46E8E345" w14:textId="77777777" w:rsidR="00E602AB" w:rsidRDefault="00E602AB" w:rsidP="009875B8">
      <w:pPr>
        <w:widowControl w:val="0"/>
        <w:snapToGrid w:val="0"/>
        <w:spacing w:after="120" w:line="240" w:lineRule="auto"/>
        <w:ind w:firstLine="11"/>
        <w:jc w:val="both"/>
        <w:rPr>
          <w:rFonts w:cstheme="minorHAnsi"/>
          <w:szCs w:val="22"/>
          <w:lang w:val="fr-BE"/>
        </w:rPr>
      </w:pPr>
      <w:r w:rsidRPr="00E602AB">
        <w:rPr>
          <w:rFonts w:cstheme="minorHAnsi"/>
          <w:szCs w:val="22"/>
          <w:lang w:val="fr-BE"/>
        </w:rPr>
        <w:t>Le bon de commande est adressé à l’adjudicataire soit par envoi recommandé, soit par fax, soit par tout autre moyen permettant de déterminer la date d’envoi de manière certaine.</w:t>
      </w:r>
      <w:r w:rsidRPr="00E602AB">
        <w:rPr>
          <w:rFonts w:ascii="Times New Roman" w:hAnsi="Times New Roman" w:cs="Times New Roman"/>
          <w:szCs w:val="22"/>
          <w:lang w:val="fr-BE"/>
        </w:rPr>
        <w:t> </w:t>
      </w:r>
      <w:r w:rsidRPr="00E602AB">
        <w:rPr>
          <w:rFonts w:cstheme="minorHAnsi"/>
          <w:szCs w:val="22"/>
          <w:lang w:val="fr-BE"/>
        </w:rPr>
        <w:t xml:space="preserve"> </w:t>
      </w:r>
    </w:p>
    <w:p w14:paraId="43ABC376" w14:textId="4799D1A3" w:rsidR="001010C0" w:rsidRPr="001010C0" w:rsidRDefault="001010C0" w:rsidP="001010C0">
      <w:pPr>
        <w:widowControl w:val="0"/>
        <w:snapToGrid w:val="0"/>
        <w:spacing w:after="120" w:line="240" w:lineRule="auto"/>
        <w:ind w:firstLine="11"/>
        <w:jc w:val="both"/>
        <w:rPr>
          <w:rFonts w:cstheme="minorHAnsi"/>
          <w:szCs w:val="22"/>
          <w:lang w:val="fr-BE"/>
        </w:rPr>
      </w:pPr>
      <w:r w:rsidRPr="001010C0">
        <w:rPr>
          <w:rFonts w:cstheme="minorHAnsi"/>
          <w:szCs w:val="22"/>
          <w:lang w:val="fr-BE"/>
        </w:rPr>
        <w:t>Les échanges de correspondance subséquents relatifs au bon de commande (et à l’exécution des services) suivent les mêmes règles que celles prévues pour l’envoi du bon de commande chaque fois qu’une partie désire se ménager la preuve de son intervention.</w:t>
      </w:r>
      <w:r w:rsidRPr="001010C0">
        <w:rPr>
          <w:rFonts w:ascii="Times New Roman" w:hAnsi="Times New Roman" w:cs="Times New Roman"/>
          <w:szCs w:val="22"/>
          <w:lang w:val="fr-BE"/>
        </w:rPr>
        <w:t> </w:t>
      </w:r>
      <w:r w:rsidRPr="001010C0">
        <w:rPr>
          <w:rFonts w:cstheme="minorHAnsi"/>
          <w:szCs w:val="22"/>
          <w:lang w:val="fr-BE"/>
        </w:rPr>
        <w:t xml:space="preserve"> </w:t>
      </w:r>
    </w:p>
    <w:p w14:paraId="6A53DF28" w14:textId="31DB7FA4" w:rsidR="001010C0" w:rsidRPr="001010C0" w:rsidRDefault="001010C0" w:rsidP="001010C0">
      <w:pPr>
        <w:widowControl w:val="0"/>
        <w:snapToGrid w:val="0"/>
        <w:spacing w:after="120" w:line="240" w:lineRule="auto"/>
        <w:ind w:firstLine="11"/>
        <w:jc w:val="both"/>
        <w:rPr>
          <w:rFonts w:cstheme="minorHAnsi"/>
          <w:szCs w:val="22"/>
          <w:lang w:val="fr-BE"/>
        </w:rPr>
      </w:pPr>
      <w:r w:rsidRPr="001010C0">
        <w:rPr>
          <w:rFonts w:cstheme="minorHAnsi"/>
          <w:szCs w:val="22"/>
          <w:lang w:val="fr-BE"/>
        </w:rPr>
        <w:t>En cas de réception du bon de commande postérieure au délai de deux jours ouvrables, le délai d’exécution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r w:rsidRPr="001010C0">
        <w:rPr>
          <w:rFonts w:ascii="Times New Roman" w:hAnsi="Times New Roman" w:cs="Times New Roman"/>
          <w:szCs w:val="22"/>
          <w:lang w:val="fr-BE"/>
        </w:rPr>
        <w:t> </w:t>
      </w:r>
      <w:r w:rsidRPr="001010C0">
        <w:rPr>
          <w:rFonts w:cstheme="minorHAnsi"/>
          <w:szCs w:val="22"/>
          <w:lang w:val="fr-BE"/>
        </w:rPr>
        <w:t xml:space="preserve"> </w:t>
      </w:r>
    </w:p>
    <w:p w14:paraId="0AB3814F" w14:textId="05F4C72F" w:rsidR="001010C0" w:rsidRPr="001010C0" w:rsidRDefault="001010C0" w:rsidP="001010C0">
      <w:pPr>
        <w:widowControl w:val="0"/>
        <w:snapToGrid w:val="0"/>
        <w:spacing w:after="120" w:line="240" w:lineRule="auto"/>
        <w:ind w:firstLine="11"/>
        <w:jc w:val="both"/>
        <w:rPr>
          <w:rFonts w:cstheme="minorHAnsi"/>
          <w:szCs w:val="22"/>
          <w:lang w:val="fr-BE"/>
        </w:rPr>
      </w:pPr>
      <w:r w:rsidRPr="001010C0">
        <w:rPr>
          <w:rFonts w:cstheme="minorHAnsi"/>
          <w:szCs w:val="22"/>
          <w:lang w:val="fr-BE"/>
        </w:rPr>
        <w:t>En cas de libellé manifestement incorrect ou incomplet du bon de commande empêchant toute exécution de la commande, l’adjudicataire en avise immédiatement par écrit le service commandeur afin qu’une solution soit trouvée pour permettre l’exécution normale de la commande. Si nécessaire, l’adjudicataire sollicite une prolongation du délai de l’exécution des services dans les mêmes conditions que celles prévues en cas de réception tardive du bon de commande.</w:t>
      </w:r>
      <w:r w:rsidRPr="001010C0">
        <w:rPr>
          <w:rFonts w:ascii="Times New Roman" w:hAnsi="Times New Roman" w:cs="Times New Roman"/>
          <w:szCs w:val="22"/>
          <w:lang w:val="fr-BE"/>
        </w:rPr>
        <w:t>  </w:t>
      </w:r>
      <w:r w:rsidRPr="001010C0">
        <w:rPr>
          <w:rFonts w:cstheme="minorHAnsi"/>
          <w:szCs w:val="22"/>
          <w:lang w:val="fr-BE"/>
        </w:rPr>
        <w:t xml:space="preserve"> </w:t>
      </w:r>
    </w:p>
    <w:p w14:paraId="5E35ADF8" w14:textId="383A37C5" w:rsidR="009410E6" w:rsidRDefault="001010C0" w:rsidP="001010C0">
      <w:pPr>
        <w:widowControl w:val="0"/>
        <w:snapToGrid w:val="0"/>
        <w:spacing w:after="120" w:line="240" w:lineRule="auto"/>
        <w:ind w:firstLine="11"/>
        <w:jc w:val="both"/>
        <w:rPr>
          <w:rFonts w:ascii="Times New Roman" w:hAnsi="Times New Roman" w:cs="Times New Roman"/>
          <w:szCs w:val="22"/>
          <w:lang w:val="fr-BE"/>
        </w:rPr>
      </w:pPr>
      <w:r w:rsidRPr="001010C0">
        <w:rPr>
          <w:rFonts w:cstheme="minorHAnsi"/>
          <w:szCs w:val="22"/>
          <w:lang w:val="fr-BE"/>
        </w:rPr>
        <w:t>En tout état de cause, les réclamations relatives au bon de commande ne sont plus recevables si elles ne sont pas introduites dans les 15 jours</w:t>
      </w:r>
      <w:r w:rsidRPr="001010C0">
        <w:rPr>
          <w:rFonts w:ascii="Times New Roman" w:hAnsi="Times New Roman" w:cs="Times New Roman"/>
          <w:szCs w:val="22"/>
          <w:lang w:val="fr-BE"/>
        </w:rPr>
        <w:t> </w:t>
      </w:r>
      <w:r w:rsidRPr="001010C0">
        <w:rPr>
          <w:rFonts w:cstheme="minorHAnsi"/>
          <w:szCs w:val="22"/>
          <w:lang w:val="fr-BE"/>
        </w:rPr>
        <w:t xml:space="preserve">calendrier </w:t>
      </w:r>
      <w:r w:rsidRPr="001010C0">
        <w:rPr>
          <w:rFonts w:cs="Roboto"/>
          <w:szCs w:val="22"/>
          <w:lang w:val="fr-BE"/>
        </w:rPr>
        <w:t>à</w:t>
      </w:r>
      <w:r w:rsidRPr="001010C0">
        <w:rPr>
          <w:rFonts w:cstheme="minorHAnsi"/>
          <w:szCs w:val="22"/>
          <w:lang w:val="fr-BE"/>
        </w:rPr>
        <w:t xml:space="preserve"> compter </w:t>
      </w:r>
      <w:r w:rsidRPr="001010C0">
        <w:rPr>
          <w:rFonts w:cs="Roboto"/>
          <w:szCs w:val="22"/>
          <w:lang w:val="fr-BE"/>
        </w:rPr>
        <w:t>à</w:t>
      </w:r>
      <w:r w:rsidRPr="001010C0">
        <w:rPr>
          <w:rFonts w:cstheme="minorHAnsi"/>
          <w:szCs w:val="22"/>
          <w:lang w:val="fr-BE"/>
        </w:rPr>
        <w:t xml:space="preserve"> partir du premier jour qui suit celui o</w:t>
      </w:r>
      <w:r w:rsidRPr="001010C0">
        <w:rPr>
          <w:rFonts w:cs="Roboto"/>
          <w:szCs w:val="22"/>
          <w:lang w:val="fr-BE"/>
        </w:rPr>
        <w:t>ù</w:t>
      </w:r>
      <w:r w:rsidRPr="001010C0">
        <w:rPr>
          <w:rFonts w:cstheme="minorHAnsi"/>
          <w:szCs w:val="22"/>
          <w:lang w:val="fr-BE"/>
        </w:rPr>
        <w:t xml:space="preserve"> l</w:t>
      </w:r>
      <w:r w:rsidRPr="001010C0">
        <w:rPr>
          <w:rFonts w:cs="Roboto"/>
          <w:szCs w:val="22"/>
          <w:lang w:val="fr-BE"/>
        </w:rPr>
        <w:t>’</w:t>
      </w:r>
      <w:r w:rsidRPr="001010C0">
        <w:rPr>
          <w:rFonts w:cstheme="minorHAnsi"/>
          <w:szCs w:val="22"/>
          <w:lang w:val="fr-BE"/>
        </w:rPr>
        <w:t>adjudicataire a re</w:t>
      </w:r>
      <w:r w:rsidRPr="001010C0">
        <w:rPr>
          <w:rFonts w:cs="Roboto"/>
          <w:szCs w:val="22"/>
          <w:lang w:val="fr-BE"/>
        </w:rPr>
        <w:t>ç</w:t>
      </w:r>
      <w:r w:rsidRPr="001010C0">
        <w:rPr>
          <w:rFonts w:cstheme="minorHAnsi"/>
          <w:szCs w:val="22"/>
          <w:lang w:val="fr-BE"/>
        </w:rPr>
        <w:t>u le bon de commande.</w:t>
      </w:r>
      <w:r w:rsidRPr="001010C0">
        <w:rPr>
          <w:rFonts w:ascii="Times New Roman" w:hAnsi="Times New Roman" w:cs="Times New Roman"/>
          <w:szCs w:val="22"/>
          <w:lang w:val="fr-BE"/>
        </w:rPr>
        <w:t> </w:t>
      </w:r>
    </w:p>
    <w:p w14:paraId="6AA01E09" w14:textId="77777777" w:rsidR="0069058C" w:rsidRPr="001010C0" w:rsidRDefault="0069058C" w:rsidP="001010C0">
      <w:pPr>
        <w:widowControl w:val="0"/>
        <w:snapToGrid w:val="0"/>
        <w:spacing w:after="120" w:line="240" w:lineRule="auto"/>
        <w:ind w:firstLine="11"/>
        <w:jc w:val="both"/>
        <w:rPr>
          <w:rFonts w:cstheme="minorHAnsi"/>
          <w:szCs w:val="22"/>
          <w:lang w:val="fr-BE"/>
        </w:rPr>
      </w:pPr>
    </w:p>
    <w:p w14:paraId="5EAEABC6" w14:textId="49FA0C14" w:rsidR="009875B8" w:rsidRPr="002E704D" w:rsidRDefault="009875B8" w:rsidP="00693BB7">
      <w:pPr>
        <w:pStyle w:val="Vade-mecumtitre2"/>
      </w:pPr>
      <w:bookmarkStart w:id="431" w:name="_Toc3886191"/>
      <w:bookmarkStart w:id="432" w:name="_Toc12453063"/>
      <w:bookmarkStart w:id="433" w:name="_Toc108509956"/>
      <w:bookmarkStart w:id="434" w:name="_Toc113544469"/>
      <w:bookmarkStart w:id="435" w:name="_Toc114066772"/>
      <w:bookmarkStart w:id="436" w:name="_Toc116387769"/>
      <w:bookmarkStart w:id="437" w:name="_Toc117603233"/>
      <w:r w:rsidRPr="002E704D">
        <w:t xml:space="preserve">A14.2 </w:t>
      </w:r>
      <w:bookmarkEnd w:id="431"/>
      <w:bookmarkEnd w:id="432"/>
      <w:bookmarkEnd w:id="433"/>
      <w:bookmarkEnd w:id="434"/>
      <w:bookmarkEnd w:id="435"/>
      <w:r w:rsidR="00693BB7" w:rsidRPr="00693BB7">
        <w:t>Lieu où les services doivent être exécutés et formalités</w:t>
      </w:r>
      <w:bookmarkEnd w:id="436"/>
      <w:bookmarkEnd w:id="437"/>
    </w:p>
    <w:p w14:paraId="6E00A584" w14:textId="6BE4F78F" w:rsidR="009875B8" w:rsidRPr="00693BB7" w:rsidRDefault="009875B8" w:rsidP="00693BB7">
      <w:pPr>
        <w:pStyle w:val="Vade-mecumtitre3"/>
      </w:pPr>
      <w:bookmarkStart w:id="438" w:name="_Toc347134772"/>
      <w:bookmarkStart w:id="439" w:name="_Toc486524247"/>
      <w:bookmarkStart w:id="440" w:name="_Toc108509957"/>
      <w:bookmarkStart w:id="441" w:name="_Toc113544470"/>
      <w:bookmarkStart w:id="442" w:name="_Toc114066773"/>
      <w:bookmarkStart w:id="443" w:name="_Toc116387770"/>
      <w:bookmarkStart w:id="444" w:name="_Toc117603234"/>
      <w:r w:rsidRPr="00693BB7">
        <w:t xml:space="preserve">A14.2.1 </w:t>
      </w:r>
      <w:bookmarkEnd w:id="438"/>
      <w:bookmarkEnd w:id="439"/>
      <w:bookmarkEnd w:id="440"/>
      <w:bookmarkEnd w:id="441"/>
      <w:bookmarkEnd w:id="442"/>
      <w:r w:rsidR="00693BB7" w:rsidRPr="00693BB7">
        <w:t>Lieu où les services doivent être exécutés</w:t>
      </w:r>
      <w:bookmarkEnd w:id="443"/>
      <w:bookmarkEnd w:id="444"/>
      <w:r w:rsidR="00693BB7" w:rsidRPr="00693BB7">
        <w:t xml:space="preserve"> </w:t>
      </w:r>
    </w:p>
    <w:p w14:paraId="103CA43E" w14:textId="7F1CC924" w:rsidR="00B27D56" w:rsidRPr="00B27D56" w:rsidRDefault="00B27D56" w:rsidP="00B27D56">
      <w:p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sidRPr="00B27D56">
        <w:rPr>
          <w:rFonts w:cstheme="minorHAnsi"/>
          <w:szCs w:val="22"/>
          <w:lang w:val="fr-BE"/>
        </w:rPr>
        <w:t>Les services seront exécutés à l’adresse suivante</w:t>
      </w:r>
      <w:r w:rsidR="00142F56">
        <w:rPr>
          <w:rFonts w:cstheme="minorHAnsi"/>
          <w:szCs w:val="22"/>
          <w:lang w:val="fr-BE"/>
        </w:rPr>
        <w:t xml:space="preserve"> </w:t>
      </w:r>
      <w:r w:rsidRPr="00B27D56">
        <w:rPr>
          <w:rFonts w:cstheme="minorHAnsi"/>
          <w:szCs w:val="22"/>
          <w:lang w:val="fr-BE"/>
        </w:rPr>
        <w:t>:</w:t>
      </w:r>
      <w:r w:rsidRPr="00B27D56">
        <w:rPr>
          <w:rFonts w:ascii="Times New Roman" w:hAnsi="Times New Roman" w:cs="Times New Roman"/>
          <w:szCs w:val="22"/>
          <w:lang w:val="fr-BE"/>
        </w:rPr>
        <w:t> </w:t>
      </w:r>
      <w:r w:rsidRPr="00B27D56">
        <w:rPr>
          <w:rFonts w:cstheme="minorHAnsi"/>
          <w:szCs w:val="22"/>
          <w:lang w:val="fr-BE"/>
        </w:rPr>
        <w:t xml:space="preserve"> </w:t>
      </w:r>
    </w:p>
    <w:p w14:paraId="21853BB1" w14:textId="7FB5CCC9" w:rsidR="00B27D56" w:rsidRPr="00142F56" w:rsidRDefault="00B27D56" w:rsidP="00B27D56">
      <w:pPr>
        <w:pStyle w:val="ListParagraph"/>
        <w:numPr>
          <w:ilvl w:val="0"/>
          <w:numId w:val="34"/>
        </w:num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sidRPr="00142F56">
        <w:rPr>
          <w:lang w:val="fr-BE"/>
        </w:rPr>
        <w:t>sur les lieux du fournisseur de services</w:t>
      </w:r>
      <w:r w:rsidR="00142F56">
        <w:rPr>
          <w:lang w:val="fr-BE"/>
        </w:rPr>
        <w:t xml:space="preserve"> </w:t>
      </w:r>
      <w:r w:rsidRPr="00142F56">
        <w:rPr>
          <w:lang w:val="fr-BE"/>
        </w:rPr>
        <w:t>;</w:t>
      </w:r>
      <w:r w:rsidRPr="00142F56">
        <w:rPr>
          <w:rFonts w:ascii="Times New Roman" w:hAnsi="Times New Roman" w:cs="Times New Roman"/>
          <w:lang w:val="fr-BE"/>
        </w:rPr>
        <w:t>  </w:t>
      </w:r>
      <w:r w:rsidRPr="00142F56">
        <w:rPr>
          <w:lang w:val="fr-BE"/>
        </w:rPr>
        <w:t xml:space="preserve"> </w:t>
      </w:r>
    </w:p>
    <w:p w14:paraId="0F4FB106" w14:textId="5F5AA882" w:rsidR="00B27D56" w:rsidRPr="00142F56" w:rsidRDefault="00B27D56" w:rsidP="00B27D56">
      <w:pPr>
        <w:numPr>
          <w:ilvl w:val="0"/>
          <w:numId w:val="34"/>
        </w:num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sidRPr="00142F56">
        <w:rPr>
          <w:lang w:val="fr-BE"/>
        </w:rPr>
        <w:t>au siège social du pouvoir adjudicateur</w:t>
      </w:r>
      <w:r w:rsidRPr="00142F56">
        <w:rPr>
          <w:rFonts w:ascii="Times New Roman" w:hAnsi="Times New Roman" w:cs="Times New Roman"/>
          <w:lang w:val="fr-BE"/>
        </w:rPr>
        <w:t> </w:t>
      </w:r>
      <w:r w:rsidRPr="00142F56">
        <w:rPr>
          <w:rFonts w:cs="Roboto"/>
          <w:lang w:val="fr-BE"/>
        </w:rPr>
        <w:t>à</w:t>
      </w:r>
      <w:r w:rsidRPr="00142F56">
        <w:rPr>
          <w:lang w:val="fr-BE"/>
        </w:rPr>
        <w:t xml:space="preserve"> Bruxelles </w:t>
      </w:r>
      <w:r w:rsidR="006149A2">
        <w:rPr>
          <w:lang w:val="fr-BE"/>
        </w:rPr>
        <w:t>(Belgique)</w:t>
      </w:r>
      <w:r w:rsidR="00142F56">
        <w:rPr>
          <w:lang w:val="fr-BE"/>
        </w:rPr>
        <w:t xml:space="preserve"> </w:t>
      </w:r>
      <w:r w:rsidRPr="00142F56">
        <w:rPr>
          <w:lang w:val="fr-BE"/>
        </w:rPr>
        <w:t>;</w:t>
      </w:r>
      <w:r w:rsidRPr="00142F56">
        <w:rPr>
          <w:rFonts w:ascii="Times New Roman" w:hAnsi="Times New Roman" w:cs="Times New Roman"/>
          <w:lang w:val="fr-BE"/>
        </w:rPr>
        <w:t>  </w:t>
      </w:r>
      <w:r w:rsidRPr="00142F56">
        <w:rPr>
          <w:lang w:val="fr-BE"/>
        </w:rPr>
        <w:t xml:space="preserve"> </w:t>
      </w:r>
    </w:p>
    <w:p w14:paraId="7F46DDBC" w14:textId="6DEF47CD" w:rsidR="00B27D56" w:rsidRPr="00142F56" w:rsidRDefault="00B27D56" w:rsidP="00B27D56">
      <w:pPr>
        <w:numPr>
          <w:ilvl w:val="0"/>
          <w:numId w:val="34"/>
        </w:num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sidRPr="00142F56">
        <w:rPr>
          <w:lang w:val="fr-BE"/>
        </w:rPr>
        <w:t>auprès des personnes et institutions mentionnées dans les termes de référence</w:t>
      </w:r>
      <w:r w:rsidR="00142F56">
        <w:rPr>
          <w:lang w:val="fr-BE"/>
        </w:rPr>
        <w:t xml:space="preserve"> </w:t>
      </w:r>
      <w:r w:rsidRPr="00142F56">
        <w:rPr>
          <w:lang w:val="fr-BE"/>
        </w:rPr>
        <w:t>;</w:t>
      </w:r>
      <w:r w:rsidRPr="00142F56">
        <w:rPr>
          <w:rFonts w:ascii="Times New Roman" w:hAnsi="Times New Roman" w:cs="Times New Roman"/>
          <w:lang w:val="fr-BE"/>
        </w:rPr>
        <w:t> </w:t>
      </w:r>
      <w:r w:rsidRPr="00142F56">
        <w:rPr>
          <w:lang w:val="fr-BE"/>
        </w:rPr>
        <w:t xml:space="preserve"> </w:t>
      </w:r>
    </w:p>
    <w:p w14:paraId="5CB57C17" w14:textId="77777777" w:rsidR="00B27D56" w:rsidRPr="00142F56" w:rsidRDefault="00B27D56" w:rsidP="00B27D56">
      <w:pPr>
        <w:numPr>
          <w:ilvl w:val="0"/>
          <w:numId w:val="34"/>
        </w:numPr>
        <w:pBdr>
          <w:top w:val="nil"/>
          <w:left w:val="nil"/>
          <w:bottom w:val="nil"/>
          <w:right w:val="nil"/>
          <w:between w:val="nil"/>
          <w:bar w:val="nil"/>
        </w:pBdr>
        <w:tabs>
          <w:tab w:val="left" w:pos="5340"/>
        </w:tabs>
        <w:snapToGrid w:val="0"/>
        <w:spacing w:after="120" w:line="240" w:lineRule="auto"/>
        <w:jc w:val="both"/>
        <w:rPr>
          <w:rFonts w:cstheme="minorHAnsi"/>
          <w:szCs w:val="22"/>
          <w:lang w:val="fr-BE"/>
        </w:rPr>
      </w:pPr>
      <w:r w:rsidRPr="00142F56">
        <w:rPr>
          <w:lang w:val="fr-BE"/>
        </w:rPr>
        <w:t>dans le(s) pays sélectionné(s) dans le cadre l’évaluation.</w:t>
      </w:r>
    </w:p>
    <w:p w14:paraId="03D9C874" w14:textId="65D054A7" w:rsidR="009875B8" w:rsidRPr="00A023EC" w:rsidRDefault="009875B8" w:rsidP="00A023EC">
      <w:pPr>
        <w:pStyle w:val="Vade-mecumtitre3"/>
      </w:pPr>
      <w:bookmarkStart w:id="445" w:name="_Toc108509958"/>
      <w:bookmarkStart w:id="446" w:name="_Toc113544471"/>
      <w:bookmarkStart w:id="447" w:name="_Toc114066774"/>
      <w:bookmarkStart w:id="448" w:name="_Toc116387771"/>
      <w:bookmarkStart w:id="449" w:name="_Toc117603235"/>
      <w:bookmarkStart w:id="450" w:name="_Toc232236641"/>
      <w:bookmarkStart w:id="451" w:name="_Toc20047993"/>
      <w:bookmarkStart w:id="452" w:name="_Toc347134773"/>
      <w:bookmarkStart w:id="453" w:name="_Toc486524248"/>
      <w:r w:rsidRPr="00A023EC">
        <w:t xml:space="preserve">A14.2.2 </w:t>
      </w:r>
      <w:bookmarkEnd w:id="445"/>
      <w:bookmarkEnd w:id="446"/>
      <w:bookmarkEnd w:id="447"/>
      <w:r w:rsidR="00A023EC" w:rsidRPr="00A023EC">
        <w:t>Vérification et réception des services exécutés</w:t>
      </w:r>
      <w:r w:rsidR="00A023EC" w:rsidRPr="00A023EC">
        <w:rPr>
          <w:rFonts w:ascii="Times New Roman" w:hAnsi="Times New Roman" w:cs="Times New Roman"/>
        </w:rPr>
        <w:t> </w:t>
      </w:r>
      <w:bookmarkEnd w:id="448"/>
      <w:bookmarkEnd w:id="449"/>
    </w:p>
    <w:bookmarkEnd w:id="450"/>
    <w:bookmarkEnd w:id="451"/>
    <w:bookmarkEnd w:id="452"/>
    <w:bookmarkEnd w:id="453"/>
    <w:p w14:paraId="2E3574A7" w14:textId="5AC54B64" w:rsidR="00EA565B" w:rsidRPr="00EA565B" w:rsidRDefault="00EA565B" w:rsidP="00EA565B">
      <w:pPr>
        <w:tabs>
          <w:tab w:val="center" w:pos="4513"/>
          <w:tab w:val="right" w:pos="9026"/>
        </w:tabs>
        <w:spacing w:after="0" w:line="240" w:lineRule="auto"/>
        <w:ind w:firstLine="11"/>
        <w:jc w:val="both"/>
        <w:rPr>
          <w:szCs w:val="22"/>
          <w:lang w:val="fr-BE"/>
        </w:rPr>
      </w:pPr>
      <w:r w:rsidRPr="00EA565B">
        <w:rPr>
          <w:szCs w:val="22"/>
          <w:lang w:val="fr-BE"/>
        </w:rPr>
        <w:t>Si, pendant l’exécution des services, des anomalies sont constatées, ceci sera immédiatement notifié à l’adjudicataire par un message e-mail, qui sera confirmé par la suite au moyen d’un envoi recommandé. L’adjudicataire est tenu de recommencer les services exécutés de manière non conforme.</w:t>
      </w:r>
      <w:r w:rsidRPr="00EA565B">
        <w:rPr>
          <w:rFonts w:ascii="Times New Roman" w:hAnsi="Times New Roman" w:cs="Times New Roman"/>
          <w:szCs w:val="22"/>
          <w:lang w:val="fr-BE"/>
        </w:rPr>
        <w:t> </w:t>
      </w:r>
      <w:r w:rsidRPr="00EA565B">
        <w:rPr>
          <w:szCs w:val="22"/>
          <w:lang w:val="fr-BE"/>
        </w:rPr>
        <w:t xml:space="preserve"> </w:t>
      </w:r>
    </w:p>
    <w:p w14:paraId="53C8F9B7" w14:textId="77777777" w:rsidR="00EA565B" w:rsidRPr="00EA565B" w:rsidRDefault="00EA565B" w:rsidP="00EA565B">
      <w:pPr>
        <w:tabs>
          <w:tab w:val="center" w:pos="4513"/>
          <w:tab w:val="right" w:pos="9026"/>
        </w:tabs>
        <w:spacing w:after="0" w:line="240" w:lineRule="auto"/>
        <w:ind w:firstLine="11"/>
        <w:jc w:val="both"/>
        <w:rPr>
          <w:szCs w:val="22"/>
          <w:lang w:val="fr-BE"/>
        </w:rPr>
      </w:pPr>
    </w:p>
    <w:p w14:paraId="6020D385" w14:textId="77777777" w:rsidR="00EA565B" w:rsidRPr="00EA565B" w:rsidRDefault="00EA565B" w:rsidP="00EA565B">
      <w:pPr>
        <w:tabs>
          <w:tab w:val="center" w:pos="4513"/>
          <w:tab w:val="right" w:pos="9026"/>
        </w:tabs>
        <w:spacing w:after="0" w:line="240" w:lineRule="auto"/>
        <w:ind w:firstLine="11"/>
        <w:jc w:val="both"/>
        <w:rPr>
          <w:szCs w:val="22"/>
          <w:lang w:val="fr-BE"/>
        </w:rPr>
      </w:pPr>
      <w:r w:rsidRPr="00EA565B">
        <w:rPr>
          <w:szCs w:val="22"/>
          <w:lang w:val="fr-BE"/>
        </w:rPr>
        <w:t>Le pouvoir adjudicateur dispose d’un délai de vérification de trente jours à compter de la date de la fin totale ou partielle des services, constatée conformément aux modalités fixées dans les documents du marché, pour procéder aux formalités de réception et en notifier le résultat à l’adjudicataire. Ce délai prend cours pour autant que le pouvoir adjudicateur soit, en même temps, en possession de la liste des services prestés ou de la facture.</w:t>
      </w:r>
      <w:r w:rsidRPr="00EA565B">
        <w:rPr>
          <w:rFonts w:ascii="Times New Roman" w:hAnsi="Times New Roman" w:cs="Times New Roman"/>
          <w:szCs w:val="22"/>
          <w:lang w:val="fr-BE"/>
        </w:rPr>
        <w:t> </w:t>
      </w:r>
      <w:r w:rsidRPr="00EA565B">
        <w:rPr>
          <w:szCs w:val="22"/>
          <w:lang w:val="fr-BE"/>
        </w:rPr>
        <w:t xml:space="preserve"> </w:t>
      </w:r>
    </w:p>
    <w:p w14:paraId="665F80B0" w14:textId="77777777" w:rsidR="00EA565B" w:rsidRPr="00EA565B" w:rsidRDefault="00EA565B" w:rsidP="00EA565B">
      <w:pPr>
        <w:tabs>
          <w:tab w:val="center" w:pos="4513"/>
          <w:tab w:val="right" w:pos="9026"/>
        </w:tabs>
        <w:spacing w:after="0" w:line="240" w:lineRule="auto"/>
        <w:ind w:firstLine="11"/>
        <w:jc w:val="both"/>
        <w:rPr>
          <w:szCs w:val="22"/>
          <w:lang w:val="fr-BE"/>
        </w:rPr>
      </w:pPr>
    </w:p>
    <w:p w14:paraId="78D8C4F0" w14:textId="77777777" w:rsidR="00EA565B" w:rsidRPr="00EA565B" w:rsidRDefault="00EA565B" w:rsidP="00EA565B">
      <w:pPr>
        <w:tabs>
          <w:tab w:val="center" w:pos="4513"/>
          <w:tab w:val="right" w:pos="9026"/>
        </w:tabs>
        <w:spacing w:after="0" w:line="240" w:lineRule="auto"/>
        <w:ind w:firstLine="11"/>
        <w:jc w:val="both"/>
        <w:rPr>
          <w:szCs w:val="22"/>
          <w:lang w:val="fr-BE"/>
        </w:rPr>
      </w:pPr>
      <w:r w:rsidRPr="00EA565B">
        <w:rPr>
          <w:szCs w:val="22"/>
          <w:lang w:val="fr-BE"/>
        </w:rPr>
        <w:t>Lorsque les services sont terminés avant ou après cette date, l’adjudicataire en donne connaissance par envoi recommandé au fonctionnaire dirigeant et demande de procéder à la réception. Dans ce cas, le délai de vérification de trente jours prend cours à la date de réception de la demande de l’adjudicataire.</w:t>
      </w:r>
      <w:r w:rsidRPr="00EA565B">
        <w:rPr>
          <w:rFonts w:ascii="Times New Roman" w:hAnsi="Times New Roman" w:cs="Times New Roman"/>
          <w:szCs w:val="22"/>
          <w:lang w:val="fr-BE"/>
        </w:rPr>
        <w:t> </w:t>
      </w:r>
      <w:r w:rsidRPr="00EA565B">
        <w:rPr>
          <w:szCs w:val="22"/>
          <w:lang w:val="fr-BE"/>
        </w:rPr>
        <w:t xml:space="preserve"> </w:t>
      </w:r>
    </w:p>
    <w:p w14:paraId="2F0825B2" w14:textId="77777777" w:rsidR="00EA565B" w:rsidRPr="00EA565B" w:rsidRDefault="00EA565B" w:rsidP="00EA565B">
      <w:pPr>
        <w:tabs>
          <w:tab w:val="center" w:pos="4513"/>
          <w:tab w:val="right" w:pos="9026"/>
        </w:tabs>
        <w:spacing w:after="0" w:line="240" w:lineRule="auto"/>
        <w:ind w:firstLine="11"/>
        <w:jc w:val="both"/>
        <w:rPr>
          <w:szCs w:val="22"/>
          <w:lang w:val="fr-BE"/>
        </w:rPr>
      </w:pPr>
    </w:p>
    <w:p w14:paraId="17A7C9AA" w14:textId="26007A4C" w:rsidR="009875B8" w:rsidRDefault="00EA565B" w:rsidP="00A023EC">
      <w:pPr>
        <w:tabs>
          <w:tab w:val="center" w:pos="4513"/>
          <w:tab w:val="right" w:pos="9026"/>
        </w:tabs>
        <w:spacing w:after="0" w:line="240" w:lineRule="auto"/>
        <w:ind w:firstLine="11"/>
        <w:jc w:val="both"/>
        <w:rPr>
          <w:rFonts w:ascii="Times New Roman" w:hAnsi="Times New Roman" w:cs="Times New Roman"/>
          <w:szCs w:val="22"/>
          <w:lang w:val="fr-BE"/>
        </w:rPr>
      </w:pPr>
      <w:r w:rsidRPr="00EA565B">
        <w:rPr>
          <w:szCs w:val="22"/>
          <w:lang w:val="fr-BE"/>
        </w:rPr>
        <w:t>La réception visée ci-avant est définitive.</w:t>
      </w:r>
      <w:r w:rsidRPr="00EA565B">
        <w:rPr>
          <w:rFonts w:ascii="Times New Roman" w:hAnsi="Times New Roman" w:cs="Times New Roman"/>
          <w:szCs w:val="22"/>
          <w:lang w:val="fr-BE"/>
        </w:rPr>
        <w:t> </w:t>
      </w:r>
    </w:p>
    <w:p w14:paraId="7B6085A1" w14:textId="79E662AF" w:rsidR="00142F56" w:rsidRDefault="00142F56" w:rsidP="00A023EC">
      <w:pPr>
        <w:tabs>
          <w:tab w:val="center" w:pos="4513"/>
          <w:tab w:val="right" w:pos="9026"/>
        </w:tabs>
        <w:spacing w:after="0" w:line="240" w:lineRule="auto"/>
        <w:ind w:firstLine="11"/>
        <w:jc w:val="both"/>
        <w:rPr>
          <w:rFonts w:ascii="Times New Roman" w:hAnsi="Times New Roman" w:cs="Times New Roman"/>
          <w:szCs w:val="22"/>
          <w:lang w:val="fr-BE"/>
        </w:rPr>
      </w:pPr>
    </w:p>
    <w:p w14:paraId="0F7E4E89" w14:textId="65EBDF3B" w:rsidR="009875B8" w:rsidRPr="009875B8" w:rsidRDefault="005E283F" w:rsidP="005E283F">
      <w:pPr>
        <w:pStyle w:val="Vade-mecumtitre1"/>
        <w:numPr>
          <w:ilvl w:val="0"/>
          <w:numId w:val="0"/>
        </w:numPr>
        <w:ind w:left="432" w:hanging="432"/>
      </w:pPr>
      <w:bookmarkStart w:id="454" w:name="_Toc3886192"/>
      <w:bookmarkStart w:id="455" w:name="_Toc486524234"/>
      <w:bookmarkStart w:id="456" w:name="_Toc279057"/>
      <w:bookmarkStart w:id="457" w:name="_Toc12453064"/>
      <w:bookmarkStart w:id="458" w:name="_Toc77719407"/>
      <w:bookmarkStart w:id="459" w:name="_Toc108509959"/>
      <w:bookmarkStart w:id="460" w:name="_Toc117603236"/>
      <w:bookmarkStart w:id="461" w:name="_Toc14172433"/>
      <w:bookmarkStart w:id="462" w:name="_Toc20047986"/>
      <w:bookmarkStart w:id="463" w:name="_Toc232236632"/>
      <w:bookmarkStart w:id="464" w:name="_Toc486593846"/>
      <w:bookmarkStart w:id="465" w:name="_Toc529699997"/>
      <w:bookmarkStart w:id="466" w:name="_Toc529700613"/>
      <w:bookmarkStart w:id="467" w:name="_Toc529747469"/>
      <w:bookmarkStart w:id="468" w:name="_Toc230713"/>
      <w:bookmarkStart w:id="469" w:name="_Toc230767"/>
      <w:bookmarkStart w:id="470" w:name="_Toc12079562"/>
      <w:bookmarkStart w:id="471" w:name="_Toc12862758"/>
      <w:bookmarkStart w:id="472" w:name="_Toc19591217"/>
      <w:bookmarkStart w:id="473" w:name="_Toc486514005"/>
      <w:bookmarkStart w:id="474" w:name="_Toc1985176"/>
      <w:r>
        <w:t>A</w:t>
      </w:r>
      <w:r w:rsidR="009875B8" w:rsidRPr="009875B8">
        <w:t xml:space="preserve">15. </w:t>
      </w:r>
      <w:bookmarkEnd w:id="454"/>
      <w:bookmarkEnd w:id="455"/>
      <w:bookmarkEnd w:id="456"/>
      <w:bookmarkEnd w:id="457"/>
      <w:bookmarkEnd w:id="458"/>
      <w:bookmarkEnd w:id="459"/>
      <w:r w:rsidR="00A023EC" w:rsidRPr="00A023EC">
        <w:t>Suivi – Accompagnement</w:t>
      </w:r>
      <w:r w:rsidR="00A023EC" w:rsidRPr="00A023EC">
        <w:rPr>
          <w:rFonts w:ascii="Times New Roman" w:hAnsi="Times New Roman" w:cs="Times New Roman"/>
        </w:rPr>
        <w:t> </w:t>
      </w:r>
      <w:bookmarkEnd w:id="460"/>
    </w:p>
    <w:p w14:paraId="2A9E3BD7" w14:textId="61E78D40" w:rsidR="005E283F" w:rsidRPr="00142F56" w:rsidRDefault="005E283F" w:rsidP="00EE0FB2">
      <w:pPr>
        <w:pStyle w:val="Vade-mecumtitre2"/>
      </w:pPr>
      <w:bookmarkStart w:id="475" w:name="_Toc113544473"/>
      <w:bookmarkStart w:id="476" w:name="_Toc114066776"/>
      <w:bookmarkStart w:id="477" w:name="_Toc116387773"/>
      <w:bookmarkStart w:id="478" w:name="_Toc117603237"/>
      <w:bookmarkStart w:id="479" w:name="_Toc3886195"/>
      <w:bookmarkStart w:id="480" w:name="_Toc12453067"/>
      <w:bookmarkStart w:id="481" w:name="_Toc77719408"/>
      <w:bookmarkStart w:id="482" w:name="_Toc108509960"/>
      <w:bookmarkStart w:id="483" w:name="_Hlk5709608"/>
      <w:bookmarkEnd w:id="461"/>
      <w:bookmarkEnd w:id="462"/>
      <w:bookmarkEnd w:id="463"/>
      <w:bookmarkEnd w:id="464"/>
      <w:r w:rsidRPr="00142F56">
        <w:t xml:space="preserve">A15.1  </w:t>
      </w:r>
      <w:bookmarkEnd w:id="475"/>
      <w:bookmarkEnd w:id="476"/>
      <w:r w:rsidR="00EE0FB2" w:rsidRPr="00142F56">
        <w:t>Comité d’accompagnement</w:t>
      </w:r>
      <w:r w:rsidR="00EE0FB2" w:rsidRPr="00142F56">
        <w:rPr>
          <w:rFonts w:ascii="Times New Roman" w:hAnsi="Times New Roman" w:cs="Times New Roman"/>
        </w:rPr>
        <w:t> </w:t>
      </w:r>
      <w:bookmarkEnd w:id="477"/>
      <w:bookmarkEnd w:id="478"/>
    </w:p>
    <w:p w14:paraId="136A5F3B" w14:textId="15324D06" w:rsidR="005E283F" w:rsidRPr="00142F56" w:rsidRDefault="00EE0FB2" w:rsidP="00271C94">
      <w:pPr>
        <w:spacing w:line="240" w:lineRule="auto"/>
        <w:jc w:val="both"/>
        <w:rPr>
          <w:lang w:val="fr-BE"/>
        </w:rPr>
      </w:pPr>
      <w:r w:rsidRPr="00142F56">
        <w:rPr>
          <w:lang w:val="fr-BE"/>
        </w:rPr>
        <w:t>Les services seront étroitement suivis au cours de leur exécution par un comité d’accompagnement, dont la composition est mentionnée au point B</w:t>
      </w:r>
      <w:r w:rsidR="00A5602E" w:rsidRPr="00142F56">
        <w:rPr>
          <w:lang w:val="fr-BE"/>
        </w:rPr>
        <w:t>9</w:t>
      </w:r>
      <w:r w:rsidRPr="00142F56">
        <w:rPr>
          <w:lang w:val="fr-BE"/>
        </w:rPr>
        <w:t xml:space="preserve"> de la partie B de ce cahier de charge. Le Comité d’accompagnement se réunira soit au siège social de l’organisme adjudicateur en présence du fournisseur de services. En tant que pouvoir adjudicateur, le Service d’Evaluation spéciale (S2) du SPF Affaires étrangères, Commerce extérieur et Coopération au développement sera responsable de la prestation des services.</w:t>
      </w:r>
      <w:r w:rsidRPr="00142F56">
        <w:rPr>
          <w:rFonts w:ascii="Times New Roman" w:hAnsi="Times New Roman" w:cs="Times New Roman"/>
          <w:lang w:val="fr-BE"/>
        </w:rPr>
        <w:t> </w:t>
      </w:r>
    </w:p>
    <w:p w14:paraId="5EB565F8" w14:textId="77777777" w:rsidR="00801021" w:rsidRPr="00801021" w:rsidRDefault="00801021" w:rsidP="00801021">
      <w:pPr>
        <w:pStyle w:val="Vade-mecumtitre2"/>
        <w:spacing w:line="240" w:lineRule="auto"/>
        <w:jc w:val="both"/>
      </w:pPr>
      <w:bookmarkStart w:id="484" w:name="_Toc113544474"/>
      <w:bookmarkStart w:id="485" w:name="_Toc114066777"/>
      <w:bookmarkStart w:id="486" w:name="_Toc116387774"/>
      <w:bookmarkStart w:id="487" w:name="_Toc117603238"/>
      <w:r w:rsidRPr="00801021">
        <w:rPr>
          <w:rFonts w:ascii="Roboto" w:hAnsi="Roboto"/>
          <w:b w:val="0"/>
          <w:bCs w:val="0"/>
          <w:color w:val="auto"/>
          <w:sz w:val="22"/>
          <w:szCs w:val="28"/>
        </w:rPr>
        <w:t>Un représentant du pouvoir adjudicateur sera nommé au début de l’exécution des services afin de faciliter le contact avec le fournisseur de services. L’identité de ce délégué sera communiquée à l’adjudicataire au moment où débutera l’exécution des services.</w:t>
      </w:r>
    </w:p>
    <w:p w14:paraId="166DCF5E" w14:textId="77777777" w:rsidR="00801021" w:rsidRPr="00801021" w:rsidRDefault="00801021" w:rsidP="00801021">
      <w:pPr>
        <w:pStyle w:val="Vade-mecumtitre2"/>
      </w:pPr>
    </w:p>
    <w:p w14:paraId="4C6E5215" w14:textId="073BA677" w:rsidR="005E283F" w:rsidRPr="00142F56" w:rsidRDefault="005E283F" w:rsidP="00801021">
      <w:pPr>
        <w:pStyle w:val="Vade-mecumtitre2"/>
      </w:pPr>
      <w:r w:rsidRPr="00142F56">
        <w:t xml:space="preserve">A15.2 </w:t>
      </w:r>
      <w:bookmarkEnd w:id="484"/>
      <w:bookmarkEnd w:id="485"/>
      <w:r w:rsidR="00B749FB" w:rsidRPr="00142F56">
        <w:t>Frais d’appui</w:t>
      </w:r>
      <w:bookmarkEnd w:id="486"/>
      <w:bookmarkEnd w:id="487"/>
    </w:p>
    <w:p w14:paraId="48F54253" w14:textId="2A867780" w:rsidR="00B749FB" w:rsidRPr="00142F56" w:rsidRDefault="00B749FB" w:rsidP="00B749FB">
      <w:pPr>
        <w:pStyle w:val="Vade-Mecum0"/>
        <w:spacing w:line="240" w:lineRule="auto"/>
        <w:jc w:val="both"/>
      </w:pPr>
      <w:r w:rsidRPr="00142F56">
        <w:t>Les visites sur le terrain peuvent également être accompagnées et suivies par un représentant de l’organisme adjudicateur. L’identité de ce délégué sera communiquée à l’adjudicataire en temps voulu. Le prestataire de services doit assurer le transport et le déplacement sur place de ce délégué (et son bagage). Les frais de voyage et de séjour du délégué du pouvoir adjudicateur sont à charge de l’adjudicataire.</w:t>
      </w:r>
      <w:r w:rsidRPr="00142F56">
        <w:rPr>
          <w:rFonts w:ascii="Times New Roman" w:hAnsi="Times New Roman" w:cs="Times New Roman"/>
        </w:rPr>
        <w:t> </w:t>
      </w:r>
    </w:p>
    <w:p w14:paraId="02891A18" w14:textId="707CEA54" w:rsidR="009875B8" w:rsidRPr="00330505" w:rsidRDefault="009875B8" w:rsidP="0015271F">
      <w:pPr>
        <w:pStyle w:val="Vade-mecumtitre1"/>
        <w:numPr>
          <w:ilvl w:val="0"/>
          <w:numId w:val="0"/>
        </w:numPr>
        <w:rPr>
          <w:lang w:val="fr-BE"/>
        </w:rPr>
      </w:pPr>
      <w:bookmarkStart w:id="488" w:name="_Toc117603239"/>
      <w:r w:rsidRPr="00330505">
        <w:rPr>
          <w:lang w:val="fr-BE"/>
        </w:rPr>
        <w:t xml:space="preserve">A16. </w:t>
      </w:r>
      <w:bookmarkEnd w:id="465"/>
      <w:bookmarkEnd w:id="466"/>
      <w:bookmarkEnd w:id="467"/>
      <w:bookmarkEnd w:id="468"/>
      <w:bookmarkEnd w:id="469"/>
      <w:bookmarkEnd w:id="470"/>
      <w:bookmarkEnd w:id="471"/>
      <w:bookmarkEnd w:id="472"/>
      <w:bookmarkEnd w:id="473"/>
      <w:bookmarkEnd w:id="474"/>
      <w:bookmarkEnd w:id="479"/>
      <w:bookmarkEnd w:id="480"/>
      <w:bookmarkEnd w:id="481"/>
      <w:bookmarkEnd w:id="482"/>
      <w:r w:rsidR="00330505" w:rsidRPr="00330505">
        <w:rPr>
          <w:lang w:val="fr-BE"/>
        </w:rPr>
        <w:t>Facturation et paiement</w:t>
      </w:r>
      <w:r w:rsidR="00330505" w:rsidRPr="00330505">
        <w:rPr>
          <w:rFonts w:ascii="Times New Roman" w:hAnsi="Times New Roman" w:cs="Times New Roman"/>
          <w:lang w:val="fr-BE"/>
        </w:rPr>
        <w:t> </w:t>
      </w:r>
      <w:bookmarkEnd w:id="488"/>
    </w:p>
    <w:p w14:paraId="36225081" w14:textId="44158589" w:rsidR="009B03C9" w:rsidRPr="00BE4548" w:rsidRDefault="009B03C9" w:rsidP="009B03C9">
      <w:pPr>
        <w:snapToGrid w:val="0"/>
        <w:spacing w:before="240" w:after="120" w:line="240" w:lineRule="auto"/>
        <w:ind w:left="360"/>
        <w:jc w:val="left"/>
        <w:rPr>
          <w:rFonts w:eastAsia="Times New Roman" w:cs="Times New Roman"/>
          <w:szCs w:val="22"/>
          <w:lang w:val="fr-BE"/>
        </w:rPr>
      </w:pPr>
      <w:r w:rsidRPr="00BE4548">
        <w:rPr>
          <w:rFonts w:eastAsia="Times New Roman" w:cs="Times New Roman"/>
          <w:szCs w:val="22"/>
          <w:lang w:val="fr-BE"/>
        </w:rPr>
        <w:t>Le prix global forfaitaire (+ TVA) indiqué au point A</w:t>
      </w:r>
      <w:r w:rsidR="004B03D0" w:rsidRPr="00BE4548">
        <w:rPr>
          <w:rFonts w:eastAsia="Times New Roman" w:cs="Times New Roman"/>
          <w:szCs w:val="22"/>
          <w:lang w:val="fr-BE"/>
        </w:rPr>
        <w:t>1</w:t>
      </w:r>
      <w:r w:rsidRPr="00BE4548">
        <w:rPr>
          <w:rFonts w:eastAsia="Times New Roman" w:cs="Times New Roman"/>
          <w:szCs w:val="22"/>
          <w:lang w:val="fr-BE"/>
        </w:rPr>
        <w:t xml:space="preserve"> sera payable contre réception des factures comme suit :</w:t>
      </w:r>
      <w:r w:rsidRPr="00BE4548">
        <w:rPr>
          <w:rFonts w:ascii="Times New Roman" w:eastAsia="Times New Roman" w:hAnsi="Times New Roman" w:cs="Times New Roman"/>
          <w:szCs w:val="22"/>
          <w:lang w:val="fr-BE"/>
        </w:rPr>
        <w:t>  </w:t>
      </w:r>
      <w:r w:rsidRPr="00BE4548">
        <w:rPr>
          <w:rFonts w:eastAsia="Times New Roman" w:cs="Times New Roman"/>
          <w:szCs w:val="22"/>
          <w:lang w:val="fr-BE"/>
        </w:rPr>
        <w:t xml:space="preserve"> </w:t>
      </w:r>
    </w:p>
    <w:p w14:paraId="3E9F9FC0" w14:textId="39312DEA" w:rsidR="009B03C9" w:rsidRPr="00BE4548" w:rsidRDefault="00364BDA" w:rsidP="3586E409">
      <w:pPr>
        <w:pStyle w:val="ListParagraph"/>
        <w:numPr>
          <w:ilvl w:val="0"/>
          <w:numId w:val="38"/>
        </w:numPr>
        <w:snapToGrid w:val="0"/>
        <w:spacing w:before="240" w:after="120" w:line="240" w:lineRule="auto"/>
        <w:jc w:val="left"/>
        <w:rPr>
          <w:rFonts w:eastAsia="Times New Roman" w:cs="Times New Roman"/>
          <w:lang w:val="fr-BE"/>
        </w:rPr>
      </w:pPr>
      <w:r w:rsidRPr="00BE4548">
        <w:rPr>
          <w:rFonts w:eastAsia="Times New Roman" w:cs="Times New Roman"/>
          <w:lang w:val="fr-BE"/>
        </w:rPr>
        <w:t>15</w:t>
      </w:r>
      <w:r w:rsidR="009B03C9" w:rsidRPr="00BE4548">
        <w:rPr>
          <w:rFonts w:eastAsia="Times New Roman" w:cs="Times New Roman"/>
          <w:lang w:val="fr-BE"/>
        </w:rPr>
        <w:t xml:space="preserve"> % de la somme forfaitaire après </w:t>
      </w:r>
      <w:r w:rsidR="6191C961" w:rsidRPr="00BE4548">
        <w:rPr>
          <w:rFonts w:eastAsia="Times New Roman" w:cs="Times New Roman"/>
          <w:lang w:val="fr-BE"/>
        </w:rPr>
        <w:t>l’</w:t>
      </w:r>
      <w:r w:rsidR="009B03C9" w:rsidRPr="00BE4548">
        <w:rPr>
          <w:rFonts w:eastAsia="Times New Roman" w:cs="Times New Roman"/>
          <w:lang w:val="fr-BE"/>
        </w:rPr>
        <w:t xml:space="preserve">approbation </w:t>
      </w:r>
      <w:r w:rsidR="73DC6CA2" w:rsidRPr="00BE4548">
        <w:rPr>
          <w:rFonts w:eastAsia="Times New Roman" w:cs="Times New Roman"/>
          <w:lang w:val="fr-BE"/>
        </w:rPr>
        <w:t>de la note</w:t>
      </w:r>
      <w:r w:rsidR="00C12716" w:rsidRPr="00BE4548">
        <w:rPr>
          <w:rFonts w:eastAsia="Times New Roman" w:cs="Times New Roman"/>
          <w:lang w:val="fr-BE"/>
        </w:rPr>
        <w:t xml:space="preserve"> méthodologique </w:t>
      </w:r>
      <w:r w:rsidR="009B03C9" w:rsidRPr="00BE4548">
        <w:rPr>
          <w:rFonts w:eastAsia="Times New Roman" w:cs="Times New Roman"/>
          <w:lang w:val="fr-BE"/>
        </w:rPr>
        <w:t>par le pouvoir adjudicateur</w:t>
      </w:r>
      <w:r w:rsidR="00036AE7" w:rsidRPr="00BE4548">
        <w:rPr>
          <w:rFonts w:eastAsia="Times New Roman" w:cs="Times New Roman"/>
          <w:lang w:val="fr-BE"/>
        </w:rPr>
        <w:t xml:space="preserve"> </w:t>
      </w:r>
      <w:r w:rsidR="009B03C9" w:rsidRPr="00BE4548">
        <w:rPr>
          <w:rFonts w:eastAsia="Times New Roman" w:cs="Times New Roman"/>
          <w:lang w:val="fr-BE"/>
        </w:rPr>
        <w:t>;</w:t>
      </w:r>
      <w:r w:rsidR="009B03C9" w:rsidRPr="00BE4548">
        <w:rPr>
          <w:rFonts w:ascii="Times New Roman" w:eastAsia="Times New Roman" w:hAnsi="Times New Roman" w:cs="Times New Roman"/>
          <w:lang w:val="fr-BE"/>
        </w:rPr>
        <w:t> </w:t>
      </w:r>
      <w:r w:rsidR="009B03C9" w:rsidRPr="00BE4548">
        <w:rPr>
          <w:rFonts w:eastAsia="Times New Roman" w:cs="Times New Roman"/>
          <w:lang w:val="fr-BE"/>
        </w:rPr>
        <w:t xml:space="preserve"> </w:t>
      </w:r>
    </w:p>
    <w:p w14:paraId="4A3CFBEB" w14:textId="57ED1AE4" w:rsidR="009B03C9" w:rsidRPr="00BE4548" w:rsidRDefault="0032424C" w:rsidP="3586E409">
      <w:pPr>
        <w:pStyle w:val="ListParagraph"/>
        <w:numPr>
          <w:ilvl w:val="0"/>
          <w:numId w:val="38"/>
        </w:numPr>
        <w:snapToGrid w:val="0"/>
        <w:spacing w:before="240" w:after="120" w:line="240" w:lineRule="auto"/>
        <w:jc w:val="left"/>
        <w:rPr>
          <w:rFonts w:eastAsia="Times New Roman" w:cs="Times New Roman"/>
          <w:lang w:val="fr-BE"/>
        </w:rPr>
      </w:pPr>
      <w:r w:rsidRPr="00BE4548">
        <w:rPr>
          <w:rFonts w:eastAsia="Times New Roman" w:cs="Times New Roman"/>
          <w:lang w:val="fr-BE"/>
        </w:rPr>
        <w:t>15</w:t>
      </w:r>
      <w:r w:rsidR="009B03C9" w:rsidRPr="00BE4548">
        <w:rPr>
          <w:rFonts w:eastAsia="Times New Roman" w:cs="Times New Roman"/>
          <w:lang w:val="fr-BE"/>
        </w:rPr>
        <w:t xml:space="preserve"> % de la somme forfaitaire après </w:t>
      </w:r>
      <w:r w:rsidR="3DC60CEB" w:rsidRPr="00BE4548">
        <w:rPr>
          <w:rFonts w:eastAsia="Times New Roman" w:cs="Times New Roman"/>
          <w:lang w:val="fr-BE"/>
        </w:rPr>
        <w:t>l’</w:t>
      </w:r>
      <w:r w:rsidR="009B03C9" w:rsidRPr="00BE4548">
        <w:rPr>
          <w:rFonts w:eastAsia="Times New Roman" w:cs="Times New Roman"/>
          <w:lang w:val="fr-BE"/>
        </w:rPr>
        <w:t xml:space="preserve">approbation du </w:t>
      </w:r>
      <w:r w:rsidRPr="00BE4548">
        <w:rPr>
          <w:rFonts w:eastAsia="Times New Roman" w:cs="Times New Roman"/>
          <w:lang w:val="fr-BE"/>
        </w:rPr>
        <w:t xml:space="preserve">mapping </w:t>
      </w:r>
      <w:r w:rsidR="009B03C9" w:rsidRPr="00BE4548">
        <w:rPr>
          <w:rFonts w:eastAsia="Times New Roman" w:cs="Times New Roman"/>
          <w:lang w:val="fr-BE"/>
        </w:rPr>
        <w:t>par le pouvoir adjudicateur</w:t>
      </w:r>
      <w:r w:rsidR="00036AE7" w:rsidRPr="00BE4548">
        <w:rPr>
          <w:rFonts w:eastAsia="Times New Roman" w:cs="Times New Roman"/>
          <w:lang w:val="fr-BE"/>
        </w:rPr>
        <w:t xml:space="preserve"> </w:t>
      </w:r>
      <w:r w:rsidR="009B03C9" w:rsidRPr="00BE4548">
        <w:rPr>
          <w:rFonts w:eastAsia="Times New Roman" w:cs="Times New Roman"/>
          <w:lang w:val="fr-BE"/>
        </w:rPr>
        <w:t>;</w:t>
      </w:r>
      <w:r w:rsidR="009B03C9" w:rsidRPr="00BE4548">
        <w:rPr>
          <w:rFonts w:ascii="Times New Roman" w:eastAsia="Times New Roman" w:hAnsi="Times New Roman" w:cs="Times New Roman"/>
          <w:lang w:val="fr-BE"/>
        </w:rPr>
        <w:t>  </w:t>
      </w:r>
      <w:r w:rsidR="009B03C9" w:rsidRPr="00BE4548">
        <w:rPr>
          <w:rFonts w:eastAsia="Times New Roman" w:cs="Times New Roman"/>
          <w:lang w:val="fr-BE"/>
        </w:rPr>
        <w:t xml:space="preserve"> </w:t>
      </w:r>
    </w:p>
    <w:p w14:paraId="30F0D86C" w14:textId="455E83DE" w:rsidR="009B03C9" w:rsidRPr="00BE4548" w:rsidRDefault="0032424C" w:rsidP="009B03C9">
      <w:pPr>
        <w:pStyle w:val="ListParagraph"/>
        <w:numPr>
          <w:ilvl w:val="0"/>
          <w:numId w:val="38"/>
        </w:numPr>
        <w:snapToGrid w:val="0"/>
        <w:spacing w:before="240" w:after="120" w:line="240" w:lineRule="auto"/>
        <w:jc w:val="left"/>
        <w:rPr>
          <w:rFonts w:eastAsia="Times New Roman" w:cs="Times New Roman"/>
          <w:szCs w:val="22"/>
          <w:lang w:val="fr-BE"/>
        </w:rPr>
      </w:pPr>
      <w:r w:rsidRPr="00BE4548">
        <w:rPr>
          <w:rFonts w:eastAsia="Times New Roman" w:cs="Times New Roman"/>
          <w:szCs w:val="22"/>
          <w:lang w:val="fr-BE"/>
        </w:rPr>
        <w:t>35</w:t>
      </w:r>
      <w:r w:rsidR="009B03C9" w:rsidRPr="00BE4548">
        <w:rPr>
          <w:rFonts w:eastAsia="Times New Roman" w:cs="Times New Roman"/>
          <w:szCs w:val="22"/>
          <w:lang w:val="fr-BE"/>
        </w:rPr>
        <w:t xml:space="preserve">% de la somme forfaitaire après </w:t>
      </w:r>
      <w:r w:rsidR="00C0329E" w:rsidRPr="00BE4548">
        <w:rPr>
          <w:rFonts w:eastAsia="Times New Roman" w:cs="Times New Roman"/>
          <w:szCs w:val="22"/>
          <w:lang w:val="fr-BE"/>
        </w:rPr>
        <w:t>la mise en œuvre des trois missions pays</w:t>
      </w:r>
      <w:r w:rsidR="00F20508">
        <w:rPr>
          <w:rFonts w:eastAsia="Times New Roman" w:cs="Times New Roman"/>
          <w:szCs w:val="22"/>
          <w:lang w:val="fr-BE"/>
        </w:rPr>
        <w:t> ;</w:t>
      </w:r>
      <w:r w:rsidR="009B03C9" w:rsidRPr="00BE4548">
        <w:rPr>
          <w:rFonts w:ascii="Times New Roman" w:eastAsia="Times New Roman" w:hAnsi="Times New Roman" w:cs="Times New Roman"/>
          <w:szCs w:val="22"/>
          <w:lang w:val="fr-BE"/>
        </w:rPr>
        <w:t>  </w:t>
      </w:r>
      <w:r w:rsidR="009B03C9" w:rsidRPr="00BE4548">
        <w:rPr>
          <w:rFonts w:eastAsia="Times New Roman" w:cs="Times New Roman"/>
          <w:szCs w:val="22"/>
          <w:lang w:val="fr-BE"/>
        </w:rPr>
        <w:t xml:space="preserve"> </w:t>
      </w:r>
    </w:p>
    <w:p w14:paraId="60BB0A61" w14:textId="33708D59" w:rsidR="0032424C" w:rsidRPr="00BE4548" w:rsidRDefault="00B4482D" w:rsidP="3586E409">
      <w:pPr>
        <w:pStyle w:val="ListParagraph"/>
        <w:numPr>
          <w:ilvl w:val="0"/>
          <w:numId w:val="38"/>
        </w:numPr>
        <w:snapToGrid w:val="0"/>
        <w:spacing w:before="240" w:after="120" w:line="240" w:lineRule="auto"/>
        <w:jc w:val="left"/>
        <w:rPr>
          <w:rFonts w:eastAsia="Times New Roman" w:cs="Times New Roman"/>
          <w:lang w:val="fr-BE"/>
        </w:rPr>
      </w:pPr>
      <w:r w:rsidRPr="00BE4548">
        <w:rPr>
          <w:rFonts w:eastAsia="Times New Roman" w:cs="Times New Roman"/>
          <w:lang w:val="fr-BE"/>
        </w:rPr>
        <w:t>25%</w:t>
      </w:r>
      <w:r w:rsidR="007577BA" w:rsidRPr="00BE4548">
        <w:rPr>
          <w:rFonts w:eastAsia="Times New Roman" w:cs="Times New Roman"/>
          <w:lang w:val="fr-BE"/>
        </w:rPr>
        <w:t xml:space="preserve"> après </w:t>
      </w:r>
      <w:r w:rsidR="30FF97ED" w:rsidRPr="00BE4548">
        <w:rPr>
          <w:rFonts w:eastAsia="Times New Roman" w:cs="Times New Roman"/>
          <w:lang w:val="fr-BE"/>
        </w:rPr>
        <w:t>l’</w:t>
      </w:r>
      <w:r w:rsidR="007577BA" w:rsidRPr="00BE4548">
        <w:rPr>
          <w:rFonts w:eastAsia="Times New Roman" w:cs="Times New Roman"/>
          <w:lang w:val="fr-BE"/>
        </w:rPr>
        <w:t xml:space="preserve">approbation des </w:t>
      </w:r>
      <w:r w:rsidR="00303729" w:rsidRPr="00BE4548">
        <w:rPr>
          <w:rFonts w:eastAsia="Times New Roman" w:cs="Times New Roman"/>
          <w:lang w:val="fr-BE"/>
        </w:rPr>
        <w:t>six</w:t>
      </w:r>
      <w:r w:rsidR="007577BA" w:rsidRPr="00BE4548">
        <w:rPr>
          <w:rFonts w:eastAsia="Times New Roman" w:cs="Times New Roman"/>
          <w:lang w:val="fr-BE"/>
        </w:rPr>
        <w:t xml:space="preserve"> rapports pays et du rapport final par</w:t>
      </w:r>
      <w:r w:rsidR="00303729" w:rsidRPr="00BE4548">
        <w:rPr>
          <w:rFonts w:eastAsia="Times New Roman" w:cs="Times New Roman"/>
          <w:lang w:val="fr-BE"/>
        </w:rPr>
        <w:t xml:space="preserve"> le pouvoir adjudicateur ;</w:t>
      </w:r>
    </w:p>
    <w:p w14:paraId="22AB7011" w14:textId="784B3CE2" w:rsidR="009B03C9" w:rsidRPr="00BE4548" w:rsidRDefault="009D0819" w:rsidP="3586E409">
      <w:pPr>
        <w:pStyle w:val="ListParagraph"/>
        <w:numPr>
          <w:ilvl w:val="0"/>
          <w:numId w:val="38"/>
        </w:numPr>
        <w:snapToGrid w:val="0"/>
        <w:spacing w:before="240" w:after="120" w:line="240" w:lineRule="auto"/>
        <w:jc w:val="left"/>
        <w:rPr>
          <w:rFonts w:eastAsia="Times New Roman" w:cs="Times New Roman"/>
          <w:lang w:val="fr-BE"/>
        </w:rPr>
      </w:pPr>
      <w:r w:rsidRPr="00BE4548">
        <w:rPr>
          <w:rFonts w:eastAsia="Times New Roman" w:cs="Times New Roman"/>
          <w:lang w:val="fr-BE"/>
        </w:rPr>
        <w:t>10</w:t>
      </w:r>
      <w:r w:rsidR="009B03C9" w:rsidRPr="00BE4548">
        <w:rPr>
          <w:rFonts w:eastAsia="Times New Roman" w:cs="Times New Roman"/>
          <w:lang w:val="fr-BE"/>
        </w:rPr>
        <w:t xml:space="preserve">% de la somme forfaitaire après les moments de </w:t>
      </w:r>
      <w:r w:rsidR="10C18548" w:rsidRPr="00BE4548">
        <w:rPr>
          <w:rFonts w:eastAsia="Times New Roman" w:cs="Times New Roman"/>
          <w:lang w:val="fr-BE"/>
        </w:rPr>
        <w:t>restitution</w:t>
      </w:r>
      <w:r w:rsidR="009B03C9" w:rsidRPr="00BE4548">
        <w:rPr>
          <w:rFonts w:eastAsia="Times New Roman" w:cs="Times New Roman"/>
          <w:lang w:val="fr-BE"/>
        </w:rPr>
        <w:t xml:space="preserve"> prévus et après la livraison de tous les services.</w:t>
      </w:r>
      <w:r w:rsidR="009B03C9" w:rsidRPr="00BE4548">
        <w:rPr>
          <w:rFonts w:ascii="Times New Roman" w:eastAsia="Times New Roman" w:hAnsi="Times New Roman" w:cs="Times New Roman"/>
          <w:lang w:val="fr-BE"/>
        </w:rPr>
        <w:t> </w:t>
      </w:r>
      <w:r w:rsidR="009B03C9" w:rsidRPr="00BE4548">
        <w:rPr>
          <w:rFonts w:eastAsia="Times New Roman" w:cs="Times New Roman"/>
          <w:lang w:val="fr-BE"/>
        </w:rPr>
        <w:t xml:space="preserve"> </w:t>
      </w:r>
    </w:p>
    <w:p w14:paraId="4CA10902" w14:textId="65857361" w:rsidR="00BE4548" w:rsidRDefault="009B03C9" w:rsidP="00BE4548">
      <w:pPr>
        <w:snapToGrid w:val="0"/>
        <w:spacing w:before="240" w:after="120" w:line="240" w:lineRule="auto"/>
        <w:jc w:val="left"/>
        <w:rPr>
          <w:rFonts w:eastAsia="Times New Roman" w:cs="Times New Roman"/>
          <w:szCs w:val="22"/>
          <w:lang w:val="fr-BE"/>
        </w:rPr>
      </w:pPr>
      <w:r w:rsidRPr="009B03C9">
        <w:rPr>
          <w:rFonts w:eastAsia="Times New Roman" w:cs="Times New Roman"/>
          <w:szCs w:val="22"/>
          <w:lang w:val="fr-BE"/>
        </w:rPr>
        <w:t>L’adjudicataire envoie les factures (en un seul exemplaire) à l’adresse suivante</w:t>
      </w:r>
      <w:r w:rsidR="00BE4548">
        <w:rPr>
          <w:rFonts w:eastAsia="Times New Roman" w:cs="Times New Roman"/>
          <w:szCs w:val="22"/>
          <w:lang w:val="fr-BE"/>
        </w:rPr>
        <w:t xml:space="preserve"> </w:t>
      </w:r>
      <w:r w:rsidRPr="009B03C9">
        <w:rPr>
          <w:rFonts w:eastAsia="Times New Roman" w:cs="Times New Roman"/>
          <w:szCs w:val="22"/>
          <w:lang w:val="fr-BE"/>
        </w:rPr>
        <w:t>:</w:t>
      </w:r>
      <w:r w:rsidRPr="009B03C9">
        <w:rPr>
          <w:rFonts w:ascii="Times New Roman" w:eastAsia="Times New Roman" w:hAnsi="Times New Roman" w:cs="Times New Roman"/>
          <w:szCs w:val="22"/>
          <w:lang w:val="fr-BE"/>
        </w:rPr>
        <w:t> </w:t>
      </w:r>
    </w:p>
    <w:p w14:paraId="7E2DFA62" w14:textId="4A24EED9" w:rsidR="009875B8" w:rsidRPr="00BE4548" w:rsidRDefault="00852A01" w:rsidP="00BE4548">
      <w:pPr>
        <w:snapToGrid w:val="0"/>
        <w:spacing w:before="240" w:after="120" w:line="240" w:lineRule="auto"/>
        <w:jc w:val="left"/>
        <w:rPr>
          <w:rFonts w:eastAsia="Times New Roman" w:cs="Times New Roman"/>
          <w:szCs w:val="22"/>
          <w:lang w:val="fr-BE"/>
        </w:rPr>
      </w:pPr>
      <w:hyperlink r:id="rId28" w:history="1">
        <w:r w:rsidR="00BE4548" w:rsidRPr="00372FED">
          <w:rPr>
            <w:rStyle w:val="Hyperlink"/>
            <w:rFonts w:cstheme="minorHAnsi"/>
            <w:b/>
            <w:szCs w:val="22"/>
            <w:lang w:val="fr-BE"/>
          </w:rPr>
          <w:t>corinne.machet@diplobel.fed.be</w:t>
        </w:r>
      </w:hyperlink>
      <w:r w:rsidR="00BE4548">
        <w:rPr>
          <w:rFonts w:cstheme="minorHAnsi"/>
          <w:b/>
          <w:color w:val="000000"/>
          <w:szCs w:val="22"/>
          <w:lang w:val="fr-BE"/>
        </w:rPr>
        <w:t xml:space="preserve"> </w:t>
      </w:r>
      <w:r w:rsidR="00BE4548" w:rsidRPr="00BE4548">
        <w:rPr>
          <w:rFonts w:cstheme="minorHAnsi"/>
          <w:b/>
          <w:color w:val="000000"/>
          <w:szCs w:val="22"/>
          <w:lang w:val="fr-BE"/>
        </w:rPr>
        <w:t xml:space="preserve">et </w:t>
      </w:r>
      <w:hyperlink r:id="rId29" w:history="1">
        <w:r w:rsidR="00BE4548" w:rsidRPr="00BE4548">
          <w:rPr>
            <w:rStyle w:val="Hyperlink"/>
            <w:rFonts w:cstheme="minorHAnsi"/>
            <w:b/>
            <w:szCs w:val="22"/>
            <w:lang w:val="fr-BE"/>
          </w:rPr>
          <w:t>ivo.hooghe@diplobel.fed.be</w:t>
        </w:r>
      </w:hyperlink>
      <w:r w:rsidR="00BE4548" w:rsidRPr="00BE4548">
        <w:rPr>
          <w:rFonts w:cstheme="minorHAnsi"/>
          <w:b/>
          <w:color w:val="000000"/>
          <w:szCs w:val="22"/>
          <w:lang w:val="fr-BE"/>
        </w:rPr>
        <w:t xml:space="preserve"> </w:t>
      </w:r>
    </w:p>
    <w:p w14:paraId="21F20D35" w14:textId="731F8F66" w:rsidR="00FB4063" w:rsidRPr="00750FC0" w:rsidRDefault="00FB4063" w:rsidP="00FB4063">
      <w:pPr>
        <w:snapToGrid w:val="0"/>
        <w:spacing w:after="120" w:line="240" w:lineRule="auto"/>
        <w:jc w:val="both"/>
        <w:rPr>
          <w:rFonts w:cstheme="minorHAnsi"/>
          <w:color w:val="000000"/>
          <w:szCs w:val="22"/>
          <w:lang w:val="fr-BE"/>
        </w:rPr>
      </w:pPr>
      <w:bookmarkStart w:id="489" w:name="_Hlk189411"/>
      <w:bookmarkStart w:id="490" w:name="_Hlk529797398"/>
      <w:bookmarkStart w:id="491" w:name="_Toc529699999"/>
      <w:bookmarkStart w:id="492" w:name="_Toc529700615"/>
      <w:bookmarkStart w:id="493" w:name="_Toc529747471"/>
      <w:bookmarkStart w:id="494" w:name="_Toc230715"/>
      <w:bookmarkStart w:id="495" w:name="_Toc230769"/>
      <w:bookmarkStart w:id="496" w:name="_Toc12079564"/>
      <w:bookmarkStart w:id="497" w:name="_Toc12862760"/>
      <w:bookmarkStart w:id="498" w:name="_Toc19591219"/>
      <w:bookmarkStart w:id="499" w:name="_Toc486514007"/>
      <w:bookmarkStart w:id="500" w:name="_Toc529699998"/>
      <w:bookmarkStart w:id="501" w:name="_Toc529700614"/>
      <w:bookmarkStart w:id="502" w:name="_Toc529747470"/>
      <w:bookmarkStart w:id="503" w:name="_Toc230714"/>
      <w:bookmarkStart w:id="504" w:name="_Toc230768"/>
      <w:bookmarkStart w:id="505" w:name="_Toc12079563"/>
      <w:bookmarkStart w:id="506" w:name="_Toc12862759"/>
      <w:bookmarkStart w:id="507" w:name="_Toc19591218"/>
      <w:bookmarkStart w:id="508" w:name="_Toc486514006"/>
      <w:r w:rsidRPr="00750FC0">
        <w:rPr>
          <w:rFonts w:cstheme="minorHAnsi"/>
          <w:color w:val="000000"/>
          <w:szCs w:val="22"/>
          <w:lang w:val="fr-BE"/>
        </w:rPr>
        <w:t>Seuls les services exécutés de manière correcte pourront être facturés.</w:t>
      </w:r>
      <w:r w:rsidRPr="00750FC0">
        <w:rPr>
          <w:rFonts w:ascii="Times New Roman" w:hAnsi="Times New Roman" w:cs="Times New Roman"/>
          <w:color w:val="000000"/>
          <w:szCs w:val="22"/>
          <w:lang w:val="fr-BE"/>
        </w:rPr>
        <w:t> </w:t>
      </w:r>
      <w:r w:rsidRPr="00750FC0">
        <w:rPr>
          <w:rFonts w:cstheme="minorHAnsi"/>
          <w:color w:val="000000"/>
          <w:szCs w:val="22"/>
          <w:lang w:val="fr-BE"/>
        </w:rPr>
        <w:t xml:space="preserve"> </w:t>
      </w:r>
    </w:p>
    <w:p w14:paraId="5DF16658" w14:textId="77777777" w:rsidR="00FB4063" w:rsidRPr="00750FC0" w:rsidRDefault="00FB4063" w:rsidP="00FB4063">
      <w:pPr>
        <w:snapToGrid w:val="0"/>
        <w:spacing w:after="120" w:line="240" w:lineRule="auto"/>
        <w:jc w:val="both"/>
        <w:rPr>
          <w:rFonts w:cstheme="minorHAnsi"/>
          <w:color w:val="000000"/>
          <w:szCs w:val="22"/>
          <w:lang w:val="fr-BE"/>
        </w:rPr>
      </w:pPr>
      <w:r w:rsidRPr="00750FC0">
        <w:rPr>
          <w:rFonts w:cstheme="minorHAnsi"/>
          <w:color w:val="000000"/>
          <w:szCs w:val="22"/>
          <w:lang w:val="fr-BE"/>
        </w:rPr>
        <w:t>Le paiement du montant dû à l’adjudicataire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 ainsi que d’autres documents éventuellement exigés.</w:t>
      </w:r>
      <w:r w:rsidRPr="00750FC0">
        <w:rPr>
          <w:rFonts w:ascii="Times New Roman" w:hAnsi="Times New Roman" w:cs="Times New Roman"/>
          <w:color w:val="000000"/>
          <w:szCs w:val="22"/>
          <w:lang w:val="fr-BE"/>
        </w:rPr>
        <w:t> </w:t>
      </w:r>
      <w:r w:rsidRPr="00750FC0">
        <w:rPr>
          <w:rFonts w:cstheme="minorHAnsi"/>
          <w:color w:val="000000"/>
          <w:szCs w:val="22"/>
          <w:lang w:val="fr-BE"/>
        </w:rPr>
        <w:t xml:space="preserve"> </w:t>
      </w:r>
    </w:p>
    <w:p w14:paraId="10F031BC" w14:textId="77777777" w:rsidR="00FB4063" w:rsidRPr="00750FC0" w:rsidRDefault="00FB4063" w:rsidP="00FB4063">
      <w:pPr>
        <w:snapToGrid w:val="0"/>
        <w:spacing w:after="120" w:line="240" w:lineRule="auto"/>
        <w:jc w:val="both"/>
        <w:rPr>
          <w:rFonts w:cstheme="minorHAnsi"/>
          <w:color w:val="000000"/>
          <w:szCs w:val="22"/>
          <w:lang w:val="fr-BE"/>
        </w:rPr>
      </w:pPr>
      <w:r w:rsidRPr="00750FC0">
        <w:rPr>
          <w:rFonts w:cstheme="minorHAnsi"/>
          <w:color w:val="000000"/>
          <w:szCs w:val="22"/>
          <w:lang w:val="fr-BE"/>
        </w:rPr>
        <w:t>Lorsque les documents du marché ne prévoient pas une déclaration de créance séparée, la facture vaut déclaration de créance.</w:t>
      </w:r>
      <w:r w:rsidRPr="00750FC0">
        <w:rPr>
          <w:rFonts w:ascii="Times New Roman" w:hAnsi="Times New Roman" w:cs="Times New Roman"/>
          <w:color w:val="000000"/>
          <w:szCs w:val="22"/>
          <w:lang w:val="fr-BE"/>
        </w:rPr>
        <w:t> </w:t>
      </w:r>
      <w:r w:rsidRPr="00750FC0">
        <w:rPr>
          <w:rFonts w:cstheme="minorHAnsi"/>
          <w:color w:val="000000"/>
          <w:szCs w:val="22"/>
          <w:lang w:val="fr-BE"/>
        </w:rPr>
        <w:t xml:space="preserve"> </w:t>
      </w:r>
    </w:p>
    <w:p w14:paraId="69B0C51F" w14:textId="77777777" w:rsidR="00FB4063" w:rsidRPr="00750FC0" w:rsidRDefault="00FB4063" w:rsidP="00FB4063">
      <w:pPr>
        <w:snapToGrid w:val="0"/>
        <w:spacing w:after="120" w:line="240" w:lineRule="auto"/>
        <w:jc w:val="both"/>
        <w:rPr>
          <w:rFonts w:cstheme="minorHAnsi"/>
          <w:color w:val="000000"/>
          <w:szCs w:val="22"/>
          <w:lang w:val="fr-BE"/>
        </w:rPr>
      </w:pPr>
      <w:r w:rsidRPr="00750FC0">
        <w:rPr>
          <w:rFonts w:cstheme="minorHAnsi"/>
          <w:color w:val="000000"/>
          <w:szCs w:val="22"/>
          <w:lang w:val="fr-BE"/>
        </w:rPr>
        <w:t>La facture doit être libellée en EURO.</w:t>
      </w:r>
      <w:r w:rsidRPr="00750FC0">
        <w:rPr>
          <w:rFonts w:ascii="Times New Roman" w:hAnsi="Times New Roman" w:cs="Times New Roman"/>
          <w:color w:val="000000"/>
          <w:szCs w:val="22"/>
          <w:lang w:val="fr-BE"/>
        </w:rPr>
        <w:t> </w:t>
      </w:r>
    </w:p>
    <w:p w14:paraId="3D872F92" w14:textId="77777777" w:rsidR="00FB4063" w:rsidRPr="004936E3" w:rsidRDefault="00FB4063" w:rsidP="00FB4063">
      <w:pPr>
        <w:pStyle w:val="Vade-mecumtitre2"/>
      </w:pPr>
      <w:bookmarkStart w:id="509" w:name="_Toc115882658"/>
      <w:bookmarkStart w:id="510" w:name="_Toc114066779"/>
      <w:bookmarkStart w:id="511" w:name="_Toc116387776"/>
      <w:bookmarkStart w:id="512" w:name="_Toc117603240"/>
      <w:r w:rsidRPr="004936E3">
        <w:t xml:space="preserve">A16.1 </w:t>
      </w:r>
      <w:bookmarkEnd w:id="509"/>
      <w:bookmarkEnd w:id="510"/>
      <w:r w:rsidRPr="00FF08E2">
        <w:t>Envoi des e-factures à la plate-forme Mercurius</w:t>
      </w:r>
      <w:bookmarkEnd w:id="511"/>
      <w:bookmarkEnd w:id="512"/>
    </w:p>
    <w:p w14:paraId="0638D0CE" w14:textId="78B91147" w:rsidR="00FB4063" w:rsidRPr="00FF08E2" w:rsidRDefault="00FB4063" w:rsidP="00FB4063">
      <w:pPr>
        <w:spacing w:line="240" w:lineRule="auto"/>
        <w:jc w:val="both"/>
        <w:rPr>
          <w:rFonts w:cstheme="minorHAnsi"/>
          <w:color w:val="000000"/>
          <w:szCs w:val="22"/>
          <w:lang w:val="fr-BE"/>
        </w:rPr>
      </w:pPr>
      <w:bookmarkStart w:id="513" w:name="_Toc3886197"/>
      <w:bookmarkStart w:id="514" w:name="_Toc1985178"/>
      <w:bookmarkStart w:id="515" w:name="_Toc3887117"/>
      <w:bookmarkStart w:id="516" w:name="_Toc12453069"/>
      <w:bookmarkStart w:id="517" w:name="_Toc107899970"/>
      <w:bookmarkStart w:id="518" w:name="_Toc108097526"/>
      <w:bookmarkStart w:id="519" w:name="_Toc108507427"/>
      <w:bookmarkStart w:id="520" w:name="_Toc108509961"/>
      <w:bookmarkStart w:id="521" w:name="_Toc113535688"/>
      <w:bookmarkStart w:id="522" w:name="_Toc113544113"/>
      <w:r w:rsidRPr="00FF08E2">
        <w:rPr>
          <w:rFonts w:cstheme="minorHAnsi"/>
          <w:color w:val="000000"/>
          <w:szCs w:val="22"/>
          <w:lang w:val="fr-BE"/>
        </w:rPr>
        <w:t xml:space="preserve">Les e-factures peuvent être envoyées électroniquement vers la plate-forme Mercurius. Cette plate-forme est la voie d’accès unique des e-factures pour toutes les administrations de Belgique. Mercurius veille donc à une uniformisation approfondie de la facturation électronique au sein du secteur public. Mercurius reçoit toutes les factures conformément au cadre d’accords européen : PEPPOL (Pan European Public Procurement On Line). Ce cadre peut aussi parfaitement être utilisé pour la facturation au sein du secteur privé. Actuellement, il s’agit de l’approche la plus prometteuse pour une généralisation de la facturation électronique. Vous trouverez une description complète de ce cadre et de ses composantes sur le site suivant : </w:t>
      </w:r>
      <w:hyperlink r:id="rId30" w:history="1">
        <w:r w:rsidRPr="00E013FC">
          <w:rPr>
            <w:rStyle w:val="Hyperlink"/>
            <w:rFonts w:cstheme="minorHAnsi"/>
            <w:szCs w:val="22"/>
            <w:lang w:val="fr-BE"/>
          </w:rPr>
          <w:t>http://peppol.eu/</w:t>
        </w:r>
      </w:hyperlink>
      <w:r>
        <w:rPr>
          <w:rFonts w:cstheme="minorHAnsi"/>
          <w:color w:val="000000"/>
          <w:szCs w:val="22"/>
          <w:lang w:val="fr-BE"/>
        </w:rPr>
        <w:t>.</w:t>
      </w:r>
      <w:r w:rsidRPr="00FF08E2">
        <w:rPr>
          <w:rFonts w:cstheme="minorHAnsi"/>
          <w:color w:val="000000"/>
          <w:szCs w:val="22"/>
          <w:lang w:val="fr-BE"/>
        </w:rPr>
        <w:t xml:space="preserve"> </w:t>
      </w:r>
    </w:p>
    <w:p w14:paraId="56AAB9DB" w14:textId="77777777" w:rsidR="00FB4063" w:rsidRPr="00FF08E2" w:rsidRDefault="00FB4063" w:rsidP="00FB4063">
      <w:pPr>
        <w:spacing w:line="240" w:lineRule="auto"/>
        <w:jc w:val="both"/>
        <w:rPr>
          <w:rFonts w:cstheme="minorHAnsi"/>
          <w:color w:val="000000"/>
          <w:szCs w:val="22"/>
          <w:lang w:val="fr-BE"/>
        </w:rPr>
      </w:pPr>
      <w:r w:rsidRPr="00FF08E2">
        <w:rPr>
          <w:rFonts w:cstheme="minorHAnsi"/>
          <w:color w:val="000000"/>
          <w:szCs w:val="22"/>
          <w:lang w:val="fr-BE"/>
        </w:rPr>
        <w:t xml:space="preserve">La plate-forme Mercurius a prévu une fonctionnalité visuelle « track and trace », permettant à chaque partie impliquée, indépendamment de l’adjudicataire de services auquel elle est rattachée, de suivre le statut de la facture qu’elle a envoyée sur la plateforme Mercurius.  </w:t>
      </w:r>
    </w:p>
    <w:p w14:paraId="6EA8DB86" w14:textId="77777777" w:rsidR="00FB4063" w:rsidRPr="00FF08E2" w:rsidRDefault="00FB4063" w:rsidP="00FB4063">
      <w:pPr>
        <w:spacing w:line="240" w:lineRule="auto"/>
        <w:jc w:val="both"/>
        <w:rPr>
          <w:rFonts w:cstheme="minorHAnsi"/>
          <w:color w:val="000000"/>
          <w:szCs w:val="22"/>
          <w:lang w:val="fr-BE"/>
        </w:rPr>
      </w:pPr>
      <w:r w:rsidRPr="00FF08E2">
        <w:rPr>
          <w:rFonts w:cstheme="minorHAnsi"/>
          <w:color w:val="000000"/>
          <w:szCs w:val="22"/>
          <w:lang w:val="fr-BE"/>
        </w:rPr>
        <w:t xml:space="preserve">Pour les adjudicataires qui ne seraient pas encore prêts à envoyer des factures électroniques, la plate-forme Mercurius a prévu une option pour saisir manuellement les factures. Celles-ci sont ensuite envoyées au format XML et peuvent être suivies ultérieurement sur la plate-forme.  </w:t>
      </w:r>
    </w:p>
    <w:p w14:paraId="5EFAA322" w14:textId="77777777" w:rsidR="00FB4063" w:rsidRPr="00FF08E2" w:rsidRDefault="00FB4063" w:rsidP="00FB4063">
      <w:pPr>
        <w:spacing w:line="240" w:lineRule="auto"/>
        <w:jc w:val="both"/>
        <w:rPr>
          <w:b/>
          <w:bCs/>
          <w:lang w:val="fr-BE"/>
        </w:rPr>
      </w:pPr>
      <w:r w:rsidRPr="00FF08E2">
        <w:rPr>
          <w:rFonts w:cstheme="minorHAnsi"/>
          <w:color w:val="000000"/>
          <w:szCs w:val="22"/>
          <w:lang w:val="fr-BE"/>
        </w:rPr>
        <w:t xml:space="preserve">Vous trouverez des informations relatives à l’utilisation de la plate-forme Mercurius sur: https://digital.belgium.be/e-invoicing/ 17 Des informations plus générales sur la facturation électronique en Belgique sont disponibles à l'adresse suivante : </w:t>
      </w:r>
      <w:hyperlink r:id="rId31" w:history="1">
        <w:r w:rsidRPr="00E013FC">
          <w:rPr>
            <w:rStyle w:val="Hyperlink"/>
            <w:rFonts w:cstheme="minorHAnsi"/>
            <w:szCs w:val="22"/>
            <w:lang w:val="fr-BE"/>
          </w:rPr>
          <w:t>http://www.efacture.belgium.be/fr</w:t>
        </w:r>
      </w:hyperlink>
      <w:r>
        <w:rPr>
          <w:rFonts w:cstheme="minorHAnsi"/>
          <w:color w:val="000000"/>
          <w:szCs w:val="22"/>
          <w:lang w:val="fr-BE"/>
        </w:rPr>
        <w:t>/</w:t>
      </w:r>
    </w:p>
    <w:bookmarkEnd w:id="513"/>
    <w:bookmarkEnd w:id="514"/>
    <w:bookmarkEnd w:id="515"/>
    <w:bookmarkEnd w:id="516"/>
    <w:bookmarkEnd w:id="517"/>
    <w:bookmarkEnd w:id="518"/>
    <w:bookmarkEnd w:id="519"/>
    <w:bookmarkEnd w:id="520"/>
    <w:bookmarkEnd w:id="521"/>
    <w:bookmarkEnd w:id="522"/>
    <w:p w14:paraId="50512824" w14:textId="77777777" w:rsidR="00FB4063" w:rsidRPr="008B0183" w:rsidRDefault="00FB4063" w:rsidP="00FB4063">
      <w:pPr>
        <w:jc w:val="both"/>
        <w:rPr>
          <w:b/>
          <w:bCs/>
          <w:lang w:val="fr-BE"/>
        </w:rPr>
      </w:pPr>
      <w:r w:rsidRPr="008B0183">
        <w:rPr>
          <w:b/>
          <w:bCs/>
          <w:lang w:val="fr-BE"/>
        </w:rPr>
        <w:t>Quels sont les éléments minimaux à mentionner sur votre e-facture</w:t>
      </w:r>
      <w:r w:rsidRPr="008B0183">
        <w:rPr>
          <w:rFonts w:ascii="Times New Roman" w:hAnsi="Times New Roman" w:cs="Times New Roman"/>
          <w:b/>
          <w:bCs/>
          <w:lang w:val="fr-BE"/>
        </w:rPr>
        <w:t> </w:t>
      </w:r>
      <w:r w:rsidRPr="008B0183">
        <w:rPr>
          <w:b/>
          <w:bCs/>
          <w:lang w:val="fr-BE"/>
        </w:rPr>
        <w:t>?</w:t>
      </w:r>
      <w:r w:rsidRPr="008B0183">
        <w:rPr>
          <w:rFonts w:ascii="Times New Roman" w:hAnsi="Times New Roman" w:cs="Times New Roman"/>
          <w:b/>
          <w:bCs/>
          <w:lang w:val="fr-BE"/>
        </w:rPr>
        <w:t>  </w:t>
      </w:r>
    </w:p>
    <w:p w14:paraId="547DD048" w14:textId="77777777" w:rsidR="00FB4063" w:rsidRPr="00BE4548" w:rsidRDefault="00FB4063" w:rsidP="00FB4063">
      <w:pPr>
        <w:snapToGrid w:val="0"/>
        <w:spacing w:line="240" w:lineRule="auto"/>
        <w:jc w:val="both"/>
        <w:rPr>
          <w:lang w:val="fr-BE"/>
        </w:rPr>
      </w:pPr>
      <w:r w:rsidRPr="008B0183">
        <w:rPr>
          <w:lang w:val="fr-BE"/>
        </w:rPr>
        <w:t>Il est important que vous mentionniez sur votre e-facture, outre les données obligatoires conformément au Code de la TVA, également les données minimales suivantes afin que l’e-facture soit considérée comme régulière et soit traitée efficacement</w:t>
      </w:r>
      <w:r w:rsidRPr="008B0183">
        <w:rPr>
          <w:rFonts w:ascii="Times New Roman" w:hAnsi="Times New Roman" w:cs="Times New Roman"/>
          <w:lang w:val="fr-BE"/>
        </w:rPr>
        <w:t> </w:t>
      </w:r>
      <w:r w:rsidRPr="00BE4548">
        <w:rPr>
          <w:lang w:val="fr-BE"/>
        </w:rPr>
        <w:t>:</w:t>
      </w:r>
      <w:r w:rsidRPr="00BE4548">
        <w:rPr>
          <w:rFonts w:ascii="Times New Roman" w:hAnsi="Times New Roman" w:cs="Times New Roman"/>
          <w:lang w:val="fr-BE"/>
        </w:rPr>
        <w:t>  </w:t>
      </w:r>
    </w:p>
    <w:p w14:paraId="79AC46E0" w14:textId="6D33C73E" w:rsidR="00FB4063" w:rsidRPr="001C60F4" w:rsidRDefault="00FB4063" w:rsidP="00FB4063">
      <w:pPr>
        <w:snapToGrid w:val="0"/>
        <w:spacing w:line="240" w:lineRule="auto"/>
        <w:ind w:left="958" w:hanging="567"/>
        <w:jc w:val="both"/>
        <w:rPr>
          <w:rFonts w:cs="Calibri"/>
          <w:lang w:val="fr-BE" w:eastAsia="nl-NL"/>
        </w:rPr>
      </w:pPr>
      <w:r w:rsidRPr="00BE4548">
        <w:rPr>
          <w:rFonts w:cs="Calibri"/>
          <w:lang w:val="fr-BE" w:eastAsia="nl-NL"/>
        </w:rPr>
        <w:t xml:space="preserve">1° </w:t>
      </w:r>
      <w:r w:rsidRPr="00BE4548">
        <w:rPr>
          <w:lang w:val="fr-BE"/>
        </w:rPr>
        <w:tab/>
      </w:r>
      <w:r w:rsidRPr="00BE4548">
        <w:rPr>
          <w:rFonts w:cs="Calibri"/>
          <w:lang w:val="fr-FR" w:eastAsia="nl-NL"/>
        </w:rPr>
        <w:t xml:space="preserve">Les identifiants de processus et de la facture </w:t>
      </w:r>
      <w:r w:rsidRPr="00353097">
        <w:rPr>
          <w:rFonts w:cs="Calibri"/>
          <w:lang w:val="fr-BE" w:eastAsia="nl-NL"/>
        </w:rPr>
        <w:t>S2/</w:t>
      </w:r>
      <w:r w:rsidR="00A70DCC" w:rsidRPr="00353097">
        <w:rPr>
          <w:rFonts w:cs="Calibri"/>
          <w:lang w:val="fr-BE" w:eastAsia="nl-NL"/>
        </w:rPr>
        <w:t>2022</w:t>
      </w:r>
      <w:r w:rsidR="00A70DCC">
        <w:rPr>
          <w:rFonts w:cs="Calibri"/>
          <w:lang w:val="fr-BE" w:eastAsia="nl-NL"/>
        </w:rPr>
        <w:t>/03</w:t>
      </w:r>
      <w:r w:rsidR="001715EA">
        <w:rPr>
          <w:rFonts w:cs="Calibri"/>
          <w:lang w:val="fr-BE" w:eastAsia="nl-NL"/>
        </w:rPr>
        <w:t xml:space="preserve"> </w:t>
      </w:r>
      <w:r w:rsidRPr="001C60F4">
        <w:rPr>
          <w:rFonts w:cs="Calibri"/>
          <w:lang w:val="fr-BE" w:eastAsia="nl-NL"/>
        </w:rPr>
        <w:t>;</w:t>
      </w:r>
    </w:p>
    <w:p w14:paraId="6127EEB7" w14:textId="6605C224" w:rsidR="00FB4063" w:rsidRPr="001C60F4" w:rsidRDefault="00FB4063" w:rsidP="00FB4063">
      <w:pPr>
        <w:snapToGrid w:val="0"/>
        <w:spacing w:line="240" w:lineRule="auto"/>
        <w:ind w:left="958" w:hanging="567"/>
        <w:jc w:val="both"/>
        <w:rPr>
          <w:rFonts w:cs="Calibri"/>
          <w:szCs w:val="22"/>
          <w:lang w:val="fr-BE" w:eastAsia="nl-NL"/>
        </w:rPr>
      </w:pPr>
      <w:r>
        <w:rPr>
          <w:rFonts w:cs="Calibri"/>
          <w:szCs w:val="22"/>
          <w:lang w:val="fr-BE" w:eastAsia="nl-NL"/>
        </w:rPr>
        <w:t>2</w:t>
      </w:r>
      <w:r w:rsidRPr="001C60F4">
        <w:rPr>
          <w:rFonts w:cs="Calibri"/>
          <w:szCs w:val="22"/>
          <w:lang w:val="fr-BE" w:eastAsia="nl-NL"/>
        </w:rPr>
        <w:t xml:space="preserve">° </w:t>
      </w:r>
      <w:r w:rsidRPr="001C60F4">
        <w:rPr>
          <w:rFonts w:cs="Calibri"/>
          <w:szCs w:val="22"/>
          <w:lang w:val="fr-BE" w:eastAsia="nl-NL"/>
        </w:rPr>
        <w:tab/>
        <w:t>La période de facturation</w:t>
      </w:r>
      <w:r w:rsidR="001715EA">
        <w:rPr>
          <w:rFonts w:cs="Calibri"/>
          <w:szCs w:val="22"/>
          <w:lang w:val="fr-BE" w:eastAsia="nl-NL"/>
        </w:rPr>
        <w:t xml:space="preserve"> </w:t>
      </w:r>
      <w:r w:rsidRPr="001C60F4">
        <w:rPr>
          <w:rFonts w:cs="Calibri"/>
          <w:szCs w:val="22"/>
          <w:lang w:val="fr-BE" w:eastAsia="nl-NL"/>
        </w:rPr>
        <w:t>;</w:t>
      </w:r>
      <w:r w:rsidRPr="001C60F4">
        <w:rPr>
          <w:rFonts w:ascii="Times New Roman" w:hAnsi="Times New Roman" w:cs="Times New Roman"/>
          <w:szCs w:val="22"/>
          <w:lang w:val="fr-BE" w:eastAsia="nl-NL"/>
        </w:rPr>
        <w:t>  </w:t>
      </w:r>
    </w:p>
    <w:p w14:paraId="53FDDFAF" w14:textId="05F5DD69" w:rsidR="00FB4063" w:rsidRPr="001C60F4" w:rsidRDefault="00FB4063" w:rsidP="00FB4063">
      <w:pPr>
        <w:snapToGrid w:val="0"/>
        <w:spacing w:line="240" w:lineRule="auto"/>
        <w:ind w:left="958" w:hanging="567"/>
        <w:jc w:val="both"/>
        <w:rPr>
          <w:rFonts w:cs="Calibri"/>
          <w:szCs w:val="22"/>
          <w:lang w:val="fr-BE" w:eastAsia="nl-NL"/>
        </w:rPr>
      </w:pPr>
      <w:r w:rsidRPr="001C60F4">
        <w:rPr>
          <w:rFonts w:cs="Calibri"/>
          <w:szCs w:val="22"/>
          <w:lang w:val="fr-BE" w:eastAsia="nl-NL"/>
        </w:rPr>
        <w:t xml:space="preserve">3° </w:t>
      </w:r>
      <w:r w:rsidRPr="001C60F4">
        <w:rPr>
          <w:rFonts w:cs="Calibri"/>
          <w:szCs w:val="22"/>
          <w:lang w:val="fr-BE" w:eastAsia="nl-NL"/>
        </w:rPr>
        <w:tab/>
        <w:t>Les renseignements concernant l’adjudicataire</w:t>
      </w:r>
      <w:r w:rsidR="001715EA">
        <w:rPr>
          <w:rFonts w:cs="Calibri"/>
          <w:szCs w:val="22"/>
          <w:lang w:val="fr-BE" w:eastAsia="nl-NL"/>
        </w:rPr>
        <w:t xml:space="preserve"> </w:t>
      </w:r>
      <w:r w:rsidRPr="001C60F4">
        <w:rPr>
          <w:rFonts w:cs="Calibri"/>
          <w:szCs w:val="22"/>
          <w:lang w:val="fr-BE" w:eastAsia="nl-NL"/>
        </w:rPr>
        <w:t>;</w:t>
      </w:r>
      <w:r w:rsidRPr="001C60F4">
        <w:rPr>
          <w:rFonts w:ascii="Times New Roman" w:hAnsi="Times New Roman" w:cs="Times New Roman"/>
          <w:szCs w:val="22"/>
          <w:lang w:val="fr-BE" w:eastAsia="nl-NL"/>
        </w:rPr>
        <w:t>  </w:t>
      </w:r>
    </w:p>
    <w:p w14:paraId="4D7B2A6B" w14:textId="443BC210" w:rsidR="00FB4063" w:rsidRPr="001C60F4" w:rsidRDefault="00FB4063" w:rsidP="00FB4063">
      <w:pPr>
        <w:snapToGrid w:val="0"/>
        <w:spacing w:line="240" w:lineRule="auto"/>
        <w:ind w:left="958" w:hanging="567"/>
        <w:jc w:val="both"/>
        <w:rPr>
          <w:rFonts w:ascii="Times New Roman" w:hAnsi="Times New Roman" w:cs="Times New Roman"/>
          <w:szCs w:val="22"/>
          <w:lang w:val="fr-BE" w:eastAsia="nl-NL"/>
        </w:rPr>
      </w:pPr>
      <w:r w:rsidRPr="001C60F4">
        <w:rPr>
          <w:rFonts w:cs="Calibri"/>
          <w:szCs w:val="22"/>
          <w:lang w:val="fr-BE" w:eastAsia="nl-NL"/>
        </w:rPr>
        <w:t xml:space="preserve">4° </w:t>
      </w:r>
      <w:r w:rsidRPr="001C60F4">
        <w:rPr>
          <w:rFonts w:cs="Calibri"/>
          <w:szCs w:val="22"/>
          <w:lang w:val="fr-BE" w:eastAsia="nl-NL"/>
        </w:rPr>
        <w:tab/>
        <w:t>Les renseignements concernant le pouvoir adjudicateur</w:t>
      </w:r>
      <w:r w:rsidR="001715EA">
        <w:rPr>
          <w:rFonts w:cs="Calibri"/>
          <w:szCs w:val="22"/>
          <w:lang w:val="fr-BE" w:eastAsia="nl-NL"/>
        </w:rPr>
        <w:t xml:space="preserve"> </w:t>
      </w:r>
      <w:r w:rsidRPr="001C60F4">
        <w:rPr>
          <w:rFonts w:cs="Calibri"/>
          <w:szCs w:val="22"/>
          <w:lang w:val="fr-BE" w:eastAsia="nl-NL"/>
        </w:rPr>
        <w:t>;</w:t>
      </w:r>
      <w:r w:rsidRPr="001C60F4">
        <w:rPr>
          <w:rFonts w:ascii="Times New Roman" w:hAnsi="Times New Roman" w:cs="Times New Roman"/>
          <w:szCs w:val="22"/>
          <w:lang w:val="fr-BE" w:eastAsia="nl-NL"/>
        </w:rPr>
        <w:t>  </w:t>
      </w:r>
    </w:p>
    <w:p w14:paraId="09172FA7" w14:textId="4390AD23" w:rsidR="00FB4063" w:rsidRPr="001C60F4" w:rsidRDefault="00FB4063" w:rsidP="00FB4063">
      <w:pPr>
        <w:snapToGrid w:val="0"/>
        <w:spacing w:line="240" w:lineRule="auto"/>
        <w:ind w:left="958" w:hanging="567"/>
        <w:jc w:val="both"/>
        <w:rPr>
          <w:rFonts w:cs="Calibri"/>
          <w:szCs w:val="22"/>
          <w:lang w:val="fr-BE" w:eastAsia="nl-NL"/>
        </w:rPr>
      </w:pPr>
      <w:r w:rsidRPr="001C60F4">
        <w:rPr>
          <w:rFonts w:cs="Calibri"/>
          <w:szCs w:val="22"/>
          <w:lang w:val="fr-BE" w:eastAsia="nl-NL"/>
        </w:rPr>
        <w:t xml:space="preserve">5° </w:t>
      </w:r>
      <w:r w:rsidRPr="001C60F4">
        <w:rPr>
          <w:rFonts w:cs="Calibri"/>
          <w:szCs w:val="22"/>
          <w:lang w:val="fr-BE" w:eastAsia="nl-NL"/>
        </w:rPr>
        <w:tab/>
        <w:t>Les renseignements concernant le bénéficiaire du paiement</w:t>
      </w:r>
      <w:r w:rsidR="001715EA">
        <w:rPr>
          <w:rFonts w:cs="Calibri"/>
          <w:szCs w:val="22"/>
          <w:lang w:val="fr-BE" w:eastAsia="nl-NL"/>
        </w:rPr>
        <w:t xml:space="preserve"> </w:t>
      </w:r>
      <w:r w:rsidRPr="001C60F4">
        <w:rPr>
          <w:rFonts w:cs="Calibri"/>
          <w:szCs w:val="22"/>
          <w:lang w:val="fr-BE" w:eastAsia="nl-NL"/>
        </w:rPr>
        <w:t>;</w:t>
      </w:r>
      <w:r w:rsidRPr="001C60F4">
        <w:rPr>
          <w:rFonts w:ascii="Times New Roman" w:hAnsi="Times New Roman" w:cs="Times New Roman"/>
          <w:szCs w:val="22"/>
          <w:lang w:val="fr-BE" w:eastAsia="nl-NL"/>
        </w:rPr>
        <w:t>  </w:t>
      </w:r>
    </w:p>
    <w:p w14:paraId="598BD8E8" w14:textId="0E7AD33D" w:rsidR="00FB4063" w:rsidRDefault="00FB4063" w:rsidP="00FB4063">
      <w:pPr>
        <w:snapToGrid w:val="0"/>
        <w:spacing w:line="240" w:lineRule="auto"/>
        <w:ind w:left="958" w:hanging="567"/>
        <w:jc w:val="both"/>
        <w:rPr>
          <w:rFonts w:cs="Calibri"/>
          <w:szCs w:val="22"/>
          <w:lang w:val="fr-BE" w:eastAsia="nl-NL"/>
        </w:rPr>
      </w:pPr>
      <w:r w:rsidRPr="001C60F4">
        <w:rPr>
          <w:rFonts w:cs="Calibri"/>
          <w:szCs w:val="22"/>
          <w:lang w:val="fr-BE" w:eastAsia="nl-NL"/>
        </w:rPr>
        <w:t xml:space="preserve">6° </w:t>
      </w:r>
      <w:r w:rsidRPr="001C60F4">
        <w:rPr>
          <w:rFonts w:cs="Calibri"/>
          <w:szCs w:val="22"/>
          <w:lang w:val="fr-BE" w:eastAsia="nl-NL"/>
        </w:rPr>
        <w:tab/>
        <w:t>Les renseignements concernant le représentant fiscal de l’adjudicataire</w:t>
      </w:r>
      <w:r w:rsidR="0061555B">
        <w:rPr>
          <w:rStyle w:val="FootnoteReference"/>
          <w:rFonts w:cs="Calibri"/>
          <w:szCs w:val="22"/>
          <w:lang w:val="fr-BE" w:eastAsia="nl-NL"/>
        </w:rPr>
        <w:footnoteReference w:id="2"/>
      </w:r>
      <w:r w:rsidR="001715EA">
        <w:rPr>
          <w:rFonts w:cs="Calibri"/>
          <w:szCs w:val="22"/>
          <w:lang w:val="fr-BE" w:eastAsia="nl-NL"/>
        </w:rPr>
        <w:t> ;</w:t>
      </w:r>
      <w:r w:rsidRPr="001C60F4">
        <w:rPr>
          <w:rFonts w:ascii="Times New Roman" w:hAnsi="Times New Roman" w:cs="Times New Roman"/>
          <w:szCs w:val="22"/>
          <w:lang w:val="fr-BE" w:eastAsia="nl-NL"/>
        </w:rPr>
        <w:t>  </w:t>
      </w:r>
      <w:r w:rsidRPr="001C60F4">
        <w:rPr>
          <w:rFonts w:cs="Calibri"/>
          <w:szCs w:val="22"/>
          <w:lang w:val="fr-BE" w:eastAsia="nl-NL"/>
        </w:rPr>
        <w:t xml:space="preserve"> </w:t>
      </w:r>
    </w:p>
    <w:p w14:paraId="650D21CF" w14:textId="19067FC3" w:rsidR="00FB4063" w:rsidRPr="001715EA" w:rsidRDefault="00FB4063" w:rsidP="00FB4063">
      <w:pPr>
        <w:snapToGrid w:val="0"/>
        <w:spacing w:line="240" w:lineRule="auto"/>
        <w:ind w:left="958" w:hanging="567"/>
        <w:jc w:val="both"/>
        <w:rPr>
          <w:rFonts w:cs="Calibri"/>
          <w:szCs w:val="22"/>
          <w:lang w:val="fr-BE" w:eastAsia="nl-NL"/>
        </w:rPr>
      </w:pPr>
      <w:r w:rsidRPr="001715EA">
        <w:rPr>
          <w:rFonts w:cs="Calibri"/>
          <w:szCs w:val="22"/>
          <w:lang w:val="fr-BE" w:eastAsia="nl-NL"/>
        </w:rPr>
        <w:t xml:space="preserve">7° </w:t>
      </w:r>
      <w:r w:rsidRPr="001715EA">
        <w:rPr>
          <w:rFonts w:cs="Calibri"/>
          <w:szCs w:val="22"/>
          <w:lang w:val="fr-BE" w:eastAsia="nl-NL"/>
        </w:rPr>
        <w:tab/>
      </w:r>
      <w:r w:rsidR="0061555B" w:rsidRPr="001715EA">
        <w:rPr>
          <w:rFonts w:cs="Calibri"/>
          <w:szCs w:val="22"/>
          <w:lang w:val="fr-BE" w:eastAsia="nl-NL"/>
        </w:rPr>
        <w:t>La référence du contrat</w:t>
      </w:r>
      <w:r w:rsidR="001715EA">
        <w:rPr>
          <w:rFonts w:cs="Calibri"/>
          <w:szCs w:val="22"/>
          <w:lang w:val="fr-BE" w:eastAsia="nl-NL"/>
        </w:rPr>
        <w:t xml:space="preserve"> </w:t>
      </w:r>
      <w:r w:rsidR="0061555B" w:rsidRPr="001715EA">
        <w:rPr>
          <w:rFonts w:cs="Calibri"/>
          <w:szCs w:val="22"/>
          <w:lang w:val="fr-BE" w:eastAsia="nl-NL"/>
        </w:rPr>
        <w:t>;</w:t>
      </w:r>
    </w:p>
    <w:p w14:paraId="43D6E0C2" w14:textId="296022F3" w:rsidR="00FB4063" w:rsidRPr="001715EA" w:rsidRDefault="00FB4063" w:rsidP="00FB4063">
      <w:pPr>
        <w:snapToGrid w:val="0"/>
        <w:spacing w:line="240" w:lineRule="auto"/>
        <w:ind w:left="958" w:hanging="567"/>
        <w:jc w:val="both"/>
        <w:rPr>
          <w:rFonts w:cs="Calibri"/>
          <w:szCs w:val="22"/>
          <w:lang w:val="fr-BE" w:eastAsia="nl-NL"/>
        </w:rPr>
      </w:pPr>
      <w:r w:rsidRPr="001715EA">
        <w:rPr>
          <w:rFonts w:cs="Calibri"/>
          <w:szCs w:val="22"/>
          <w:lang w:val="fr-BE" w:eastAsia="nl-NL"/>
        </w:rPr>
        <w:t xml:space="preserve">8° </w:t>
      </w:r>
      <w:r w:rsidRPr="001715EA">
        <w:rPr>
          <w:rFonts w:cs="Calibri"/>
          <w:szCs w:val="22"/>
          <w:lang w:val="fr-BE" w:eastAsia="nl-NL"/>
        </w:rPr>
        <w:tab/>
      </w:r>
      <w:r w:rsidR="001715EA" w:rsidRPr="001715EA">
        <w:rPr>
          <w:rFonts w:cs="Calibri"/>
          <w:szCs w:val="22"/>
          <w:lang w:val="fr-BE" w:eastAsia="nl-NL"/>
        </w:rPr>
        <w:t>Les détails concernant les services</w:t>
      </w:r>
      <w:r w:rsidR="001715EA">
        <w:rPr>
          <w:rFonts w:cs="Calibri"/>
          <w:szCs w:val="22"/>
          <w:lang w:val="fr-BE" w:eastAsia="nl-NL"/>
        </w:rPr>
        <w:t xml:space="preserve"> </w:t>
      </w:r>
      <w:r w:rsidR="001715EA" w:rsidRPr="001715EA">
        <w:rPr>
          <w:rFonts w:cs="Calibri"/>
          <w:szCs w:val="22"/>
          <w:lang w:val="fr-BE" w:eastAsia="nl-NL"/>
        </w:rPr>
        <w:t>;</w:t>
      </w:r>
      <w:r w:rsidR="001715EA" w:rsidRPr="001715EA">
        <w:rPr>
          <w:rFonts w:ascii="Times New Roman" w:hAnsi="Times New Roman" w:cs="Times New Roman"/>
          <w:szCs w:val="22"/>
          <w:lang w:val="fr-BE" w:eastAsia="nl-NL"/>
        </w:rPr>
        <w:t>  </w:t>
      </w:r>
    </w:p>
    <w:p w14:paraId="25795529" w14:textId="68298636" w:rsidR="00FB4063" w:rsidRPr="001715EA" w:rsidRDefault="00FB4063" w:rsidP="00FB4063">
      <w:pPr>
        <w:snapToGrid w:val="0"/>
        <w:spacing w:line="240" w:lineRule="auto"/>
        <w:ind w:left="958" w:hanging="567"/>
        <w:jc w:val="both"/>
        <w:rPr>
          <w:rFonts w:cs="Calibri"/>
          <w:szCs w:val="22"/>
          <w:lang w:val="fr-BE" w:eastAsia="nl-NL"/>
        </w:rPr>
      </w:pPr>
      <w:r w:rsidRPr="001715EA">
        <w:rPr>
          <w:rFonts w:cs="Calibri"/>
          <w:szCs w:val="22"/>
          <w:lang w:val="fr-BE" w:eastAsia="nl-NL"/>
        </w:rPr>
        <w:t xml:space="preserve">9° </w:t>
      </w:r>
      <w:r w:rsidRPr="001715EA">
        <w:rPr>
          <w:rFonts w:cs="Calibri"/>
          <w:szCs w:val="22"/>
          <w:lang w:val="fr-BE" w:eastAsia="nl-NL"/>
        </w:rPr>
        <w:tab/>
      </w:r>
      <w:r w:rsidR="001715EA" w:rsidRPr="001715EA">
        <w:rPr>
          <w:rFonts w:cs="Calibri"/>
          <w:szCs w:val="22"/>
          <w:lang w:val="fr-BE" w:eastAsia="nl-NL"/>
        </w:rPr>
        <w:t>Les instructions relatives au paiement</w:t>
      </w:r>
      <w:r w:rsidR="001715EA">
        <w:rPr>
          <w:rFonts w:cs="Calibri"/>
          <w:szCs w:val="22"/>
          <w:lang w:val="fr-BE" w:eastAsia="nl-NL"/>
        </w:rPr>
        <w:t xml:space="preserve"> </w:t>
      </w:r>
      <w:r w:rsidR="001715EA" w:rsidRPr="001715EA">
        <w:rPr>
          <w:rFonts w:cs="Calibri"/>
          <w:szCs w:val="22"/>
          <w:lang w:val="fr-BE" w:eastAsia="nl-NL"/>
        </w:rPr>
        <w:t>;</w:t>
      </w:r>
      <w:r w:rsidR="001715EA" w:rsidRPr="001715EA">
        <w:rPr>
          <w:rFonts w:ascii="Times New Roman" w:hAnsi="Times New Roman" w:cs="Times New Roman"/>
          <w:szCs w:val="22"/>
          <w:lang w:val="fr-BE" w:eastAsia="nl-NL"/>
        </w:rPr>
        <w:t>  </w:t>
      </w:r>
    </w:p>
    <w:p w14:paraId="3AC4C1D6" w14:textId="294939CE" w:rsidR="00FB4063" w:rsidRPr="001715EA" w:rsidRDefault="00FB4063" w:rsidP="00FB4063">
      <w:pPr>
        <w:snapToGrid w:val="0"/>
        <w:spacing w:line="240" w:lineRule="auto"/>
        <w:ind w:left="958" w:hanging="567"/>
        <w:jc w:val="both"/>
        <w:rPr>
          <w:rFonts w:cs="Calibri"/>
          <w:szCs w:val="22"/>
          <w:lang w:val="fr-BE" w:eastAsia="nl-NL"/>
        </w:rPr>
      </w:pPr>
      <w:r w:rsidRPr="001715EA">
        <w:rPr>
          <w:rFonts w:cs="Calibri"/>
          <w:szCs w:val="22"/>
          <w:lang w:val="fr-BE" w:eastAsia="nl-NL"/>
        </w:rPr>
        <w:t xml:space="preserve">10° </w:t>
      </w:r>
      <w:r w:rsidRPr="001715EA">
        <w:rPr>
          <w:rFonts w:cs="Calibri"/>
          <w:szCs w:val="22"/>
          <w:lang w:val="fr-BE" w:eastAsia="nl-NL"/>
        </w:rPr>
        <w:tab/>
      </w:r>
      <w:r w:rsidR="001715EA" w:rsidRPr="001715EA">
        <w:rPr>
          <w:rFonts w:cs="Calibri"/>
          <w:szCs w:val="22"/>
          <w:lang w:val="fr-BE" w:eastAsia="nl-NL"/>
        </w:rPr>
        <w:t>Les renseignements concernant les déductions ou frais supplémentaires ;</w:t>
      </w:r>
      <w:r w:rsidR="001715EA" w:rsidRPr="001715EA">
        <w:rPr>
          <w:rFonts w:ascii="Times New Roman" w:hAnsi="Times New Roman" w:cs="Times New Roman"/>
          <w:szCs w:val="22"/>
          <w:lang w:val="fr-BE" w:eastAsia="nl-NL"/>
        </w:rPr>
        <w:t>  </w:t>
      </w:r>
    </w:p>
    <w:p w14:paraId="294D1492" w14:textId="451708FE" w:rsidR="00FB4063" w:rsidRPr="001715EA" w:rsidRDefault="00FB4063" w:rsidP="00FB4063">
      <w:pPr>
        <w:snapToGrid w:val="0"/>
        <w:spacing w:line="240" w:lineRule="auto"/>
        <w:ind w:left="958" w:hanging="567"/>
        <w:jc w:val="both"/>
        <w:rPr>
          <w:rFonts w:cs="Calibri"/>
          <w:szCs w:val="22"/>
          <w:lang w:val="fr-BE" w:eastAsia="nl-NL"/>
        </w:rPr>
      </w:pPr>
      <w:r w:rsidRPr="001715EA">
        <w:rPr>
          <w:rFonts w:cs="Calibri"/>
          <w:szCs w:val="22"/>
          <w:lang w:val="fr-BE" w:eastAsia="nl-NL"/>
        </w:rPr>
        <w:t xml:space="preserve">11° </w:t>
      </w:r>
      <w:r w:rsidRPr="001715EA">
        <w:rPr>
          <w:rFonts w:cs="Calibri"/>
          <w:szCs w:val="22"/>
          <w:lang w:val="fr-BE" w:eastAsia="nl-NL"/>
        </w:rPr>
        <w:tab/>
      </w:r>
      <w:r w:rsidR="001715EA" w:rsidRPr="001715EA">
        <w:rPr>
          <w:rFonts w:cs="Calibri"/>
          <w:szCs w:val="22"/>
          <w:lang w:val="fr-BE" w:eastAsia="nl-NL"/>
        </w:rPr>
        <w:t>Les renseignements concernant les postes figurant sur la facture ;</w:t>
      </w:r>
      <w:r w:rsidR="001715EA" w:rsidRPr="001715EA">
        <w:rPr>
          <w:rFonts w:ascii="Times New Roman" w:hAnsi="Times New Roman" w:cs="Times New Roman"/>
          <w:szCs w:val="22"/>
          <w:lang w:val="fr-BE" w:eastAsia="nl-NL"/>
        </w:rPr>
        <w:t>  </w:t>
      </w:r>
    </w:p>
    <w:p w14:paraId="0D1AF91D" w14:textId="009AC2A5" w:rsidR="00FB4063" w:rsidRPr="001715EA" w:rsidRDefault="00FB4063" w:rsidP="00FB4063">
      <w:pPr>
        <w:snapToGrid w:val="0"/>
        <w:spacing w:line="240" w:lineRule="auto"/>
        <w:ind w:left="958" w:hanging="567"/>
        <w:jc w:val="both"/>
        <w:rPr>
          <w:rFonts w:cs="Calibri"/>
          <w:szCs w:val="22"/>
          <w:lang w:val="fr-BE" w:eastAsia="nl-NL"/>
        </w:rPr>
      </w:pPr>
      <w:r w:rsidRPr="001715EA">
        <w:rPr>
          <w:rFonts w:cs="Calibri"/>
          <w:szCs w:val="22"/>
          <w:lang w:val="fr-BE" w:eastAsia="nl-NL"/>
        </w:rPr>
        <w:t xml:space="preserve">12° </w:t>
      </w:r>
      <w:r w:rsidRPr="001715EA">
        <w:rPr>
          <w:rFonts w:cs="Calibri"/>
          <w:szCs w:val="22"/>
          <w:lang w:val="fr-BE" w:eastAsia="nl-NL"/>
        </w:rPr>
        <w:tab/>
      </w:r>
      <w:r w:rsidR="001715EA" w:rsidRPr="001715EA">
        <w:rPr>
          <w:rFonts w:cs="Calibri"/>
          <w:szCs w:val="22"/>
          <w:lang w:val="fr-BE" w:eastAsia="nl-NL"/>
        </w:rPr>
        <w:t>Les montants totaux de la facture ;</w:t>
      </w:r>
      <w:r w:rsidR="001715EA" w:rsidRPr="001715EA">
        <w:rPr>
          <w:rFonts w:ascii="Times New Roman" w:hAnsi="Times New Roman" w:cs="Times New Roman"/>
          <w:szCs w:val="22"/>
          <w:lang w:val="fr-BE" w:eastAsia="nl-NL"/>
        </w:rPr>
        <w:t>  </w:t>
      </w:r>
    </w:p>
    <w:p w14:paraId="5ED3795E" w14:textId="5334C292" w:rsidR="00FB4063" w:rsidRPr="001715EA" w:rsidRDefault="00FB4063" w:rsidP="00FB4063">
      <w:pPr>
        <w:snapToGrid w:val="0"/>
        <w:ind w:left="958" w:hanging="567"/>
        <w:jc w:val="both"/>
        <w:rPr>
          <w:rFonts w:cs="Calibri"/>
          <w:lang w:val="fr-BE" w:eastAsia="nl-NL"/>
        </w:rPr>
      </w:pPr>
      <w:r w:rsidRPr="001715EA">
        <w:rPr>
          <w:rFonts w:cs="Calibri"/>
          <w:lang w:val="fr-BE" w:eastAsia="nl-NL"/>
        </w:rPr>
        <w:t xml:space="preserve">13° </w:t>
      </w:r>
      <w:r w:rsidRPr="001715EA">
        <w:rPr>
          <w:lang w:val="fr-BE"/>
        </w:rPr>
        <w:tab/>
      </w:r>
      <w:r w:rsidR="001715EA" w:rsidRPr="001715EA">
        <w:rPr>
          <w:rFonts w:cs="Calibri"/>
          <w:lang w:val="fr-BE" w:eastAsia="nl-NL"/>
        </w:rPr>
        <w:t>La répartition par taux de TVA.</w:t>
      </w:r>
      <w:r w:rsidR="001715EA" w:rsidRPr="001715EA">
        <w:rPr>
          <w:rFonts w:ascii="Times New Roman" w:hAnsi="Times New Roman" w:cs="Times New Roman"/>
          <w:lang w:val="fr-BE" w:eastAsia="nl-NL"/>
        </w:rPr>
        <w:t>  </w:t>
      </w:r>
    </w:p>
    <w:p w14:paraId="32C2DA72" w14:textId="3D2006C0" w:rsidR="000B7A5D" w:rsidRPr="000B7A5D" w:rsidRDefault="000B7A5D" w:rsidP="000B7A5D">
      <w:pPr>
        <w:snapToGrid w:val="0"/>
        <w:spacing w:after="120" w:line="240" w:lineRule="auto"/>
        <w:jc w:val="both"/>
        <w:rPr>
          <w:rFonts w:cstheme="minorHAnsi"/>
          <w:szCs w:val="22"/>
          <w:lang w:val="fr-BE"/>
        </w:rPr>
      </w:pPr>
      <w:r w:rsidRPr="000B7A5D">
        <w:rPr>
          <w:rFonts w:cstheme="minorHAnsi"/>
          <w:szCs w:val="22"/>
          <w:lang w:val="fr-BE"/>
        </w:rPr>
        <w:t>Que vous utilisiez ou non une solution intégrée pour l’e-facturation, vous devez toujours établir l’e-facture conformément au format PEPPOL-BIS.</w:t>
      </w:r>
      <w:r w:rsidRPr="000B7A5D">
        <w:rPr>
          <w:rFonts w:ascii="Times New Roman" w:hAnsi="Times New Roman" w:cs="Times New Roman"/>
          <w:szCs w:val="22"/>
          <w:lang w:val="fr-BE"/>
        </w:rPr>
        <w:t> </w:t>
      </w:r>
      <w:r w:rsidRPr="000B7A5D">
        <w:rPr>
          <w:rFonts w:cstheme="minorHAnsi"/>
          <w:szCs w:val="22"/>
          <w:lang w:val="fr-BE"/>
        </w:rPr>
        <w:t xml:space="preserve"> </w:t>
      </w:r>
    </w:p>
    <w:p w14:paraId="5577A17C" w14:textId="1FC6AD62" w:rsidR="000B7A5D" w:rsidRPr="000B7A5D" w:rsidRDefault="000B7A5D" w:rsidP="000B7A5D">
      <w:pPr>
        <w:snapToGrid w:val="0"/>
        <w:spacing w:after="120" w:line="240" w:lineRule="auto"/>
        <w:jc w:val="both"/>
        <w:rPr>
          <w:rFonts w:cstheme="minorHAnsi"/>
          <w:szCs w:val="22"/>
          <w:lang w:val="fr-BE"/>
        </w:rPr>
      </w:pPr>
      <w:r w:rsidRPr="000B7A5D">
        <w:rPr>
          <w:rFonts w:cstheme="minorHAnsi"/>
          <w:szCs w:val="22"/>
          <w:lang w:val="fr-BE"/>
        </w:rPr>
        <w:t>L’adjudicataire veille à ce que la facture électronique ne contienne pas de virus informatiques, de macros ou d'autres instructions nuisibles. Toute pièce écrite qui a été établie avec des moyens électroniques et qui présente dans la version reçue un virus informatique, une macro ou toute autre instruction nuisible, peut être considérée comme non reçue. Dans ce cas, l’expéditeur est immédiatement averti.</w:t>
      </w:r>
      <w:r w:rsidRPr="000B7A5D">
        <w:rPr>
          <w:rFonts w:ascii="Times New Roman" w:hAnsi="Times New Roman" w:cs="Times New Roman"/>
          <w:szCs w:val="22"/>
          <w:lang w:val="fr-BE"/>
        </w:rPr>
        <w:t> </w:t>
      </w:r>
      <w:r w:rsidRPr="000B7A5D">
        <w:rPr>
          <w:rFonts w:cstheme="minorHAnsi"/>
          <w:szCs w:val="22"/>
          <w:lang w:val="fr-BE"/>
        </w:rPr>
        <w:t xml:space="preserve"> </w:t>
      </w:r>
    </w:p>
    <w:p w14:paraId="0B61B065" w14:textId="4F299449" w:rsidR="009875B8" w:rsidRPr="000B7A5D" w:rsidRDefault="000B7A5D" w:rsidP="000B7A5D">
      <w:pPr>
        <w:snapToGrid w:val="0"/>
        <w:spacing w:after="120" w:line="240" w:lineRule="auto"/>
        <w:jc w:val="both"/>
        <w:rPr>
          <w:rFonts w:cstheme="minorHAnsi"/>
          <w:szCs w:val="22"/>
          <w:lang w:val="fr-BE"/>
        </w:rPr>
      </w:pPr>
      <w:r w:rsidRPr="000B7A5D">
        <w:rPr>
          <w:rFonts w:cstheme="minorHAnsi"/>
          <w:szCs w:val="22"/>
          <w:lang w:val="fr-BE"/>
        </w:rPr>
        <w:t>Lorsqu’il est prévu un paiement direct au(x) sous-traitant(s) ou lorsque le marché est attribué à un groupement d'opérateurs économiques. Les présentes dispositions s’appliquent aux factures électroniques émises tant par le(s) sous-traitant(s) que par le groupement ou par chacun des opérateurs économiques membres du groupement.</w:t>
      </w:r>
      <w:r w:rsidRPr="000B7A5D">
        <w:rPr>
          <w:rFonts w:ascii="Times New Roman" w:hAnsi="Times New Roman" w:cs="Times New Roman"/>
          <w:szCs w:val="22"/>
          <w:lang w:val="fr-BE"/>
        </w:rPr>
        <w:t> </w:t>
      </w:r>
    </w:p>
    <w:p w14:paraId="3DB8CB6A" w14:textId="1400696B" w:rsidR="009875B8" w:rsidRPr="00353097" w:rsidRDefault="009875B8" w:rsidP="005B5557">
      <w:pPr>
        <w:pStyle w:val="Vade-mecumtitre1"/>
        <w:numPr>
          <w:ilvl w:val="0"/>
          <w:numId w:val="0"/>
        </w:numPr>
        <w:ind w:left="432" w:hanging="432"/>
        <w:rPr>
          <w:lang w:val="fr-BE"/>
        </w:rPr>
      </w:pPr>
      <w:bookmarkStart w:id="523" w:name="_Toc3886198"/>
      <w:bookmarkStart w:id="524" w:name="_Toc1985179"/>
      <w:bookmarkStart w:id="525" w:name="_Toc12453070"/>
      <w:bookmarkStart w:id="526" w:name="_Toc77719409"/>
      <w:bookmarkStart w:id="527" w:name="_Toc108509962"/>
      <w:bookmarkStart w:id="528" w:name="_Toc117603241"/>
      <w:bookmarkEnd w:id="483"/>
      <w:bookmarkEnd w:id="489"/>
      <w:bookmarkEnd w:id="490"/>
      <w:r w:rsidRPr="00353097">
        <w:rPr>
          <w:lang w:val="fr-BE"/>
        </w:rPr>
        <w:t xml:space="preserve">A17. </w:t>
      </w:r>
      <w:bookmarkEnd w:id="523"/>
      <w:bookmarkEnd w:id="524"/>
      <w:bookmarkEnd w:id="525"/>
      <w:bookmarkEnd w:id="526"/>
      <w:bookmarkEnd w:id="527"/>
      <w:r w:rsidR="001E5DDE" w:rsidRPr="00353097">
        <w:rPr>
          <w:lang w:val="fr-BE"/>
        </w:rPr>
        <w:t>Responsabilité de l’adjudicataire</w:t>
      </w:r>
      <w:bookmarkEnd w:id="528"/>
    </w:p>
    <w:p w14:paraId="7560683D" w14:textId="402221ED" w:rsidR="009875B8" w:rsidRPr="00353097" w:rsidRDefault="009875B8" w:rsidP="00BD5398">
      <w:pPr>
        <w:pStyle w:val="Vade-mecumtitre2"/>
      </w:pPr>
      <w:bookmarkStart w:id="529" w:name="_Toc3886199"/>
      <w:bookmarkStart w:id="530" w:name="_Toc12453071"/>
      <w:bookmarkStart w:id="531" w:name="_Toc108509963"/>
      <w:bookmarkStart w:id="532" w:name="_Toc113544477"/>
      <w:bookmarkStart w:id="533" w:name="_Toc114066781"/>
      <w:bookmarkStart w:id="534" w:name="_Toc116387778"/>
      <w:bookmarkStart w:id="535" w:name="_Toc117603242"/>
      <w:r w:rsidRPr="00353097">
        <w:t xml:space="preserve">A17.1 </w:t>
      </w:r>
      <w:bookmarkEnd w:id="529"/>
      <w:bookmarkEnd w:id="530"/>
      <w:bookmarkEnd w:id="531"/>
      <w:bookmarkEnd w:id="532"/>
      <w:bookmarkEnd w:id="533"/>
      <w:bookmarkEnd w:id="534"/>
      <w:r w:rsidR="00BD5398" w:rsidRPr="00353097">
        <w:t>Responsabilité générale de l’adjudicataire</w:t>
      </w:r>
      <w:r w:rsidR="00BD5398" w:rsidRPr="00353097">
        <w:rPr>
          <w:rFonts w:ascii="Times New Roman" w:hAnsi="Times New Roman" w:cs="Times New Roman"/>
        </w:rPr>
        <w:t> </w:t>
      </w:r>
      <w:bookmarkEnd w:id="535"/>
    </w:p>
    <w:p w14:paraId="559F6281" w14:textId="5E73AA0C" w:rsidR="00BB73D8" w:rsidRPr="00353097" w:rsidRDefault="00BB73D8" w:rsidP="00BB73D8">
      <w:pPr>
        <w:snapToGrid w:val="0"/>
        <w:spacing w:after="120" w:line="240" w:lineRule="auto"/>
        <w:ind w:firstLine="11"/>
        <w:jc w:val="both"/>
        <w:rPr>
          <w:rFonts w:cstheme="minorHAnsi"/>
          <w:szCs w:val="22"/>
          <w:lang w:val="fr-BE"/>
        </w:rPr>
      </w:pPr>
      <w:r w:rsidRPr="00353097">
        <w:rPr>
          <w:rFonts w:cstheme="minorHAnsi"/>
          <w:szCs w:val="22"/>
          <w:lang w:val="fr-BE"/>
        </w:rPr>
        <w:t>L’adjudicataire assume la pleine responsabilité des fautes et manquements présentés dans les services fournis.</w:t>
      </w:r>
      <w:r w:rsidRPr="00353097">
        <w:rPr>
          <w:rFonts w:ascii="Times New Roman" w:hAnsi="Times New Roman" w:cs="Times New Roman"/>
          <w:szCs w:val="22"/>
          <w:lang w:val="fr-BE"/>
        </w:rPr>
        <w:t> </w:t>
      </w:r>
      <w:r w:rsidRPr="00353097">
        <w:rPr>
          <w:rFonts w:cstheme="minorHAnsi"/>
          <w:szCs w:val="22"/>
          <w:lang w:val="fr-BE"/>
        </w:rPr>
        <w:t xml:space="preserve"> </w:t>
      </w:r>
    </w:p>
    <w:p w14:paraId="25E9A0B6" w14:textId="5E92C362" w:rsidR="009875B8" w:rsidRPr="00353097" w:rsidRDefault="00BB73D8" w:rsidP="00BB73D8">
      <w:pPr>
        <w:snapToGrid w:val="0"/>
        <w:spacing w:after="120" w:line="240" w:lineRule="auto"/>
        <w:ind w:firstLine="11"/>
        <w:jc w:val="both"/>
        <w:rPr>
          <w:rFonts w:cstheme="minorHAnsi"/>
          <w:szCs w:val="22"/>
          <w:lang w:val="fr-BE"/>
        </w:rPr>
      </w:pPr>
      <w:r w:rsidRPr="00353097">
        <w:rPr>
          <w:rFonts w:cstheme="minorHAnsi"/>
          <w:szCs w:val="22"/>
          <w:lang w:val="fr-BE"/>
        </w:rPr>
        <w:t>Par ailleurs, l’adjudicataire garantit le pouvoir adjudicateur des dommages et intérêts dont celui-ci est redevable à des tiers du fait du retard dans l’exécution des services ou de la défaillance de l’adjudicataire.</w:t>
      </w:r>
      <w:r w:rsidRPr="00353097">
        <w:rPr>
          <w:rFonts w:ascii="Times New Roman" w:hAnsi="Times New Roman" w:cs="Times New Roman"/>
          <w:szCs w:val="22"/>
          <w:lang w:val="fr-BE"/>
        </w:rPr>
        <w:t> </w:t>
      </w:r>
    </w:p>
    <w:p w14:paraId="0EC72882" w14:textId="6ED96546" w:rsidR="009875B8" w:rsidRPr="00353097" w:rsidRDefault="009875B8" w:rsidP="00152D9E">
      <w:pPr>
        <w:pStyle w:val="Vade-mecumtitre2"/>
      </w:pPr>
      <w:bookmarkStart w:id="536" w:name="_Toc3886200"/>
      <w:bookmarkStart w:id="537" w:name="_Toc3195973"/>
      <w:bookmarkStart w:id="538" w:name="_Toc12453072"/>
      <w:bookmarkStart w:id="539" w:name="_Toc108509964"/>
      <w:bookmarkStart w:id="540" w:name="_Toc113544478"/>
      <w:bookmarkStart w:id="541" w:name="_Toc114066782"/>
      <w:bookmarkStart w:id="542" w:name="_Toc116387779"/>
      <w:bookmarkStart w:id="543" w:name="_Toc117603243"/>
      <w:r w:rsidRPr="00353097">
        <w:t xml:space="preserve">A17.2 </w:t>
      </w:r>
      <w:bookmarkEnd w:id="536"/>
      <w:bookmarkEnd w:id="537"/>
      <w:bookmarkEnd w:id="538"/>
      <w:bookmarkEnd w:id="539"/>
      <w:bookmarkEnd w:id="540"/>
      <w:bookmarkEnd w:id="541"/>
      <w:r w:rsidR="00152D9E" w:rsidRPr="00353097">
        <w:t>Engagements particuliers pour l’adjudicataire</w:t>
      </w:r>
      <w:r w:rsidR="00152D9E" w:rsidRPr="00353097">
        <w:rPr>
          <w:rFonts w:ascii="Times New Roman" w:hAnsi="Times New Roman" w:cs="Times New Roman"/>
        </w:rPr>
        <w:t> </w:t>
      </w:r>
      <w:bookmarkEnd w:id="542"/>
      <w:bookmarkEnd w:id="543"/>
    </w:p>
    <w:p w14:paraId="0C94AC89" w14:textId="52855FCD" w:rsidR="00BB73D8" w:rsidRPr="00BB73D8" w:rsidRDefault="00BB73D8" w:rsidP="00BB73D8">
      <w:pPr>
        <w:snapToGrid w:val="0"/>
        <w:spacing w:after="120" w:line="240" w:lineRule="auto"/>
        <w:ind w:firstLine="11"/>
        <w:jc w:val="both"/>
        <w:rPr>
          <w:rFonts w:cstheme="minorHAnsi"/>
          <w:szCs w:val="22"/>
          <w:lang w:val="fr-BE"/>
        </w:rPr>
      </w:pPr>
      <w:r w:rsidRPr="00BB73D8">
        <w:rPr>
          <w:rFonts w:cstheme="minorHAnsi"/>
          <w:szCs w:val="22"/>
          <w:lang w:val="fr-BE"/>
        </w:rPr>
        <w:t>L’adjudicataire et ses collaborateurs sont liés par un devoir de réserve concernant les informations dont ils ont connaissance lors de l’exécution de ce marché. Ces informations ne peuvent en aucun cas être communiquées à des tiers sans l’autorisation écrite du pouvoir adjudicateur. L’adjudicataire peut toutefois faire mention de ce marché en tant que référence.</w:t>
      </w:r>
      <w:r w:rsidRPr="00BB73D8">
        <w:rPr>
          <w:rFonts w:ascii="Times New Roman" w:hAnsi="Times New Roman" w:cs="Times New Roman"/>
          <w:szCs w:val="22"/>
          <w:lang w:val="fr-BE"/>
        </w:rPr>
        <w:t> </w:t>
      </w:r>
      <w:r w:rsidRPr="00BB73D8">
        <w:rPr>
          <w:rFonts w:cstheme="minorHAnsi"/>
          <w:szCs w:val="22"/>
          <w:lang w:val="fr-BE"/>
        </w:rPr>
        <w:t xml:space="preserve"> </w:t>
      </w:r>
    </w:p>
    <w:p w14:paraId="37312D76" w14:textId="5B6E2B65" w:rsidR="009875B8" w:rsidRPr="00F34D2B" w:rsidRDefault="00BB73D8" w:rsidP="00BB73D8">
      <w:pPr>
        <w:snapToGrid w:val="0"/>
        <w:spacing w:after="120" w:line="240" w:lineRule="auto"/>
        <w:ind w:firstLine="11"/>
        <w:jc w:val="both"/>
        <w:rPr>
          <w:rFonts w:cstheme="minorHAnsi"/>
          <w:szCs w:val="22"/>
          <w:lang w:val="fr-BE"/>
        </w:rPr>
      </w:pPr>
      <w:r w:rsidRPr="00BB73D8">
        <w:rPr>
          <w:rFonts w:cstheme="minorHAnsi"/>
          <w:szCs w:val="22"/>
          <w:lang w:val="fr-BE"/>
        </w:rPr>
        <w:t xml:space="preserve">L’adjudicataire s’engage à faire exécuter le marché par les personnes indiquées dans l’offre, sauf cas de force majeure. Les personnes mentionnées ou leurs remplaçants sont tous censés participer effectivement à la réalisation du marché. </w:t>
      </w:r>
      <w:r w:rsidRPr="00F34D2B">
        <w:rPr>
          <w:rFonts w:cstheme="minorHAnsi"/>
          <w:szCs w:val="22"/>
          <w:lang w:val="fr-BE"/>
        </w:rPr>
        <w:t>Les remplaçants doivent être agréés par le pouvoir adjudicateur.</w:t>
      </w:r>
      <w:r w:rsidRPr="00F34D2B">
        <w:rPr>
          <w:rFonts w:ascii="Times New Roman" w:hAnsi="Times New Roman" w:cs="Times New Roman"/>
          <w:szCs w:val="22"/>
          <w:lang w:val="fr-BE"/>
        </w:rPr>
        <w:t> </w:t>
      </w:r>
    </w:p>
    <w:p w14:paraId="2D30951D" w14:textId="345F9418" w:rsidR="009875B8" w:rsidRPr="00F34D2B" w:rsidRDefault="009875B8" w:rsidP="005B5557">
      <w:pPr>
        <w:pStyle w:val="Vade-mecumtitre1"/>
        <w:numPr>
          <w:ilvl w:val="0"/>
          <w:numId w:val="0"/>
        </w:numPr>
        <w:rPr>
          <w:lang w:val="fr-BE"/>
        </w:rPr>
      </w:pPr>
      <w:bookmarkStart w:id="544" w:name="_Toc12453073"/>
      <w:bookmarkStart w:id="545" w:name="_Toc77719410"/>
      <w:bookmarkStart w:id="546" w:name="_Toc108509965"/>
      <w:bookmarkStart w:id="547" w:name="_Toc117603244"/>
      <w:r w:rsidRPr="00F34D2B">
        <w:rPr>
          <w:lang w:val="fr-BE"/>
        </w:rPr>
        <w:t xml:space="preserve">A18. </w:t>
      </w:r>
      <w:bookmarkEnd w:id="544"/>
      <w:bookmarkEnd w:id="545"/>
      <w:bookmarkEnd w:id="546"/>
      <w:r w:rsidR="00F34D2B" w:rsidRPr="00F34D2B">
        <w:rPr>
          <w:lang w:val="fr-BE"/>
        </w:rPr>
        <w:t>Protection des données à caractère personnel et de la vie privée</w:t>
      </w:r>
      <w:bookmarkEnd w:id="547"/>
    </w:p>
    <w:p w14:paraId="3BD5321B" w14:textId="227CDC86" w:rsidR="009875B8" w:rsidRPr="00F34D2B" w:rsidRDefault="00F34D2B" w:rsidP="009875B8">
      <w:pPr>
        <w:jc w:val="left"/>
        <w:rPr>
          <w:b/>
          <w:bCs/>
          <w:lang w:val="fr-BE"/>
        </w:rPr>
      </w:pPr>
      <w:r w:rsidRPr="00F34D2B">
        <w:rPr>
          <w:b/>
          <w:bCs/>
          <w:lang w:val="fr-BE"/>
        </w:rPr>
        <w:t>En cas de traitement</w:t>
      </w:r>
      <w:r>
        <w:rPr>
          <w:rStyle w:val="FootnoteReference"/>
          <w:b/>
          <w:bCs/>
          <w:lang w:val="fr-BE"/>
        </w:rPr>
        <w:footnoteReference w:id="3"/>
      </w:r>
      <w:r w:rsidRPr="00F34D2B">
        <w:rPr>
          <w:b/>
          <w:bCs/>
          <w:lang w:val="fr-BE"/>
        </w:rPr>
        <w:t xml:space="preserve"> de données à caractère personnel par l’adjudicataire pour le compte du pouvoir adjudicateur:</w:t>
      </w:r>
    </w:p>
    <w:p w14:paraId="652C0F0A" w14:textId="6DCB6C08" w:rsidR="005A0EE9" w:rsidRDefault="00EA2E6F" w:rsidP="005A0EE9">
      <w:pPr>
        <w:snapToGrid w:val="0"/>
        <w:spacing w:after="120" w:line="240" w:lineRule="auto"/>
        <w:jc w:val="both"/>
        <w:rPr>
          <w:rFonts w:eastAsia="Calibri" w:cstheme="minorHAnsi"/>
          <w:szCs w:val="22"/>
          <w:lang w:val="fr-BE"/>
        </w:rPr>
      </w:pPr>
      <w:r w:rsidRPr="00EA2E6F">
        <w:rPr>
          <w:rFonts w:eastAsia="Calibri" w:cstheme="minorHAnsi"/>
          <w:szCs w:val="22"/>
          <w:lang w:val="fr-BE"/>
        </w:rPr>
        <w:t>L’adjudicataire  doit savoir que le pouvoir adjudicateur attache une importance particulière à la protection de la vie privée. Le contractant s'engage à respecter strictement les obligations relatives aux données personnelles prévues par le Règlement (UE) 2016/679 du 27 avril 2016 relatif à la protection des personnes physiques à l'égard du traitement des données à caractère personnel et à la libre circulation de ces données et abrogeant la directive 95/46/CE ( RGDP/ GDPR). Si l’adjudicataire estime raisonnablement que des dispositions supplémentaires doivent être prises pour se conformer à cette législation, il doit en informer le pouvoir adjudicateur de manière proactive. En tout état de cause, l’adjudicataire est tenu de collaborer de bonne foi avec le pouvoir adjudicateur afin de respecter à tout moment les dispositions pertinentes de cette législation.</w:t>
      </w:r>
    </w:p>
    <w:p w14:paraId="2FFC5C4E" w14:textId="62216730" w:rsidR="00882554" w:rsidRPr="00EA2E6F" w:rsidRDefault="00882554" w:rsidP="005A0EE9">
      <w:pPr>
        <w:snapToGrid w:val="0"/>
        <w:spacing w:after="120" w:line="240" w:lineRule="auto"/>
        <w:jc w:val="both"/>
        <w:rPr>
          <w:rFonts w:eastAsia="Calibri" w:cstheme="minorHAnsi"/>
          <w:szCs w:val="22"/>
          <w:lang w:val="fr-BE"/>
        </w:rPr>
      </w:pPr>
      <w:r w:rsidRPr="00BE4548">
        <w:rPr>
          <w:rFonts w:eastAsia="Calibri" w:cstheme="minorHAnsi"/>
          <w:szCs w:val="22"/>
          <w:lang w:val="fr-BE"/>
        </w:rPr>
        <w:t>Le candidat adjudicataire retenu, en ce compris tous les membres de l’équipe d’évaluation,</w:t>
      </w:r>
      <w:r w:rsidR="00535C83" w:rsidRPr="00BE4548">
        <w:rPr>
          <w:rFonts w:eastAsia="Calibri" w:cstheme="minorHAnsi"/>
          <w:szCs w:val="22"/>
          <w:lang w:val="fr-BE"/>
        </w:rPr>
        <w:t xml:space="preserve"> </w:t>
      </w:r>
      <w:r w:rsidRPr="00BE4548">
        <w:rPr>
          <w:rFonts w:eastAsia="Calibri" w:cstheme="minorHAnsi"/>
          <w:szCs w:val="22"/>
          <w:lang w:val="fr-BE"/>
        </w:rPr>
        <w:t>doivent signer une charte de confidentialité au début de l’exercice d’évaluation.</w:t>
      </w:r>
      <w:r w:rsidRPr="00882554">
        <w:rPr>
          <w:rFonts w:eastAsia="Calibri" w:cstheme="minorHAnsi"/>
          <w:szCs w:val="22"/>
          <w:lang w:val="fr-BE"/>
        </w:rPr>
        <w:t xml:space="preserve">  </w:t>
      </w:r>
    </w:p>
    <w:p w14:paraId="4067E601" w14:textId="512C5C07" w:rsidR="009875B8" w:rsidRPr="006E1904" w:rsidRDefault="009875B8" w:rsidP="00A02CF1">
      <w:pPr>
        <w:pStyle w:val="Vade-mecumtitre1"/>
        <w:numPr>
          <w:ilvl w:val="0"/>
          <w:numId w:val="0"/>
        </w:numPr>
        <w:ind w:left="432" w:hanging="432"/>
        <w:rPr>
          <w:lang w:val="fr-BE"/>
        </w:rPr>
      </w:pPr>
      <w:bookmarkStart w:id="548" w:name="_Toc3886201"/>
      <w:bookmarkStart w:id="549" w:name="_Toc529700000"/>
      <w:bookmarkStart w:id="550" w:name="_Toc529700616"/>
      <w:bookmarkStart w:id="551" w:name="_Toc529747472"/>
      <w:bookmarkStart w:id="552" w:name="_Toc230716"/>
      <w:bookmarkStart w:id="553" w:name="_Toc230770"/>
      <w:bookmarkStart w:id="554" w:name="_Toc12079565"/>
      <w:bookmarkStart w:id="555" w:name="_Toc12862761"/>
      <w:bookmarkStart w:id="556" w:name="_Toc19591220"/>
      <w:bookmarkStart w:id="557" w:name="_Toc486514008"/>
      <w:bookmarkStart w:id="558" w:name="_Toc1985180"/>
      <w:bookmarkStart w:id="559" w:name="_Toc12453074"/>
      <w:bookmarkStart w:id="560" w:name="_Toc77719411"/>
      <w:bookmarkStart w:id="561" w:name="_Toc108509966"/>
      <w:bookmarkStart w:id="562" w:name="_Toc117603245"/>
      <w:bookmarkEnd w:id="491"/>
      <w:bookmarkEnd w:id="492"/>
      <w:bookmarkEnd w:id="493"/>
      <w:bookmarkEnd w:id="494"/>
      <w:bookmarkEnd w:id="495"/>
      <w:bookmarkEnd w:id="496"/>
      <w:bookmarkEnd w:id="497"/>
      <w:bookmarkEnd w:id="498"/>
      <w:bookmarkEnd w:id="499"/>
      <w:r w:rsidRPr="006E1904">
        <w:rPr>
          <w:lang w:val="fr-BE"/>
        </w:rPr>
        <w:t xml:space="preserve">A19. </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00A32FD0" w:rsidRPr="006E1904">
        <w:rPr>
          <w:lang w:val="fr-BE"/>
        </w:rPr>
        <w:t>Litiges</w:t>
      </w:r>
      <w:bookmarkEnd w:id="562"/>
    </w:p>
    <w:bookmarkEnd w:id="500"/>
    <w:bookmarkEnd w:id="501"/>
    <w:bookmarkEnd w:id="502"/>
    <w:bookmarkEnd w:id="503"/>
    <w:bookmarkEnd w:id="504"/>
    <w:bookmarkEnd w:id="505"/>
    <w:bookmarkEnd w:id="506"/>
    <w:bookmarkEnd w:id="507"/>
    <w:bookmarkEnd w:id="508"/>
    <w:p w14:paraId="45511AB0" w14:textId="6209CCEC" w:rsidR="00A32FD0" w:rsidRPr="00A32FD0" w:rsidRDefault="00A32FD0" w:rsidP="00A32FD0">
      <w:pPr>
        <w:snapToGrid w:val="0"/>
        <w:spacing w:after="120" w:line="240" w:lineRule="auto"/>
        <w:jc w:val="both"/>
        <w:rPr>
          <w:lang w:val="fr-BE"/>
        </w:rPr>
      </w:pPr>
      <w:r w:rsidRPr="00A32FD0">
        <w:rPr>
          <w:lang w:val="fr-BE"/>
        </w:rPr>
        <w:t>Tous les litiges relatifs à l’exécution de ce marché sont exclusivement tranchés par les tribunaux compétents de l’arrondissement judiciaire de Bruxelles. La langue véhiculaire est le français ou le néerlandais.</w:t>
      </w:r>
      <w:r w:rsidRPr="00A32FD0">
        <w:rPr>
          <w:rFonts w:ascii="Times New Roman" w:hAnsi="Times New Roman" w:cs="Times New Roman"/>
          <w:lang w:val="fr-BE"/>
        </w:rPr>
        <w:t> </w:t>
      </w:r>
      <w:r w:rsidRPr="00A32FD0">
        <w:rPr>
          <w:lang w:val="fr-BE"/>
        </w:rPr>
        <w:t xml:space="preserve"> </w:t>
      </w:r>
    </w:p>
    <w:p w14:paraId="66DF7F7D" w14:textId="5379BCEF" w:rsidR="00A02CF1" w:rsidRPr="00A32FD0" w:rsidRDefault="00A32FD0" w:rsidP="00A32FD0">
      <w:pPr>
        <w:snapToGrid w:val="0"/>
        <w:spacing w:after="120" w:line="240" w:lineRule="auto"/>
        <w:jc w:val="both"/>
        <w:rPr>
          <w:lang w:val="fr-BE"/>
        </w:rPr>
      </w:pPr>
      <w:r w:rsidRPr="00A32FD0">
        <w:rPr>
          <w:lang w:val="fr-BE"/>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r w:rsidRPr="00A32FD0">
        <w:rPr>
          <w:rFonts w:ascii="Times New Roman" w:hAnsi="Times New Roman" w:cs="Times New Roman"/>
          <w:lang w:val="fr-BE"/>
        </w:rPr>
        <w:t> </w:t>
      </w:r>
    </w:p>
    <w:p w14:paraId="057F14F0" w14:textId="7057E584" w:rsidR="00745245" w:rsidRPr="00A32FD0" w:rsidRDefault="00745245" w:rsidP="009875B8">
      <w:pPr>
        <w:snapToGrid w:val="0"/>
        <w:spacing w:after="120" w:line="240" w:lineRule="auto"/>
        <w:jc w:val="both"/>
        <w:rPr>
          <w:lang w:val="fr-BE"/>
        </w:rPr>
      </w:pPr>
    </w:p>
    <w:p w14:paraId="770CDA0F" w14:textId="43165AE0" w:rsidR="00730FB3" w:rsidRPr="00A32FD0" w:rsidRDefault="00730FB3" w:rsidP="009875B8">
      <w:pPr>
        <w:snapToGrid w:val="0"/>
        <w:spacing w:after="120" w:line="240" w:lineRule="auto"/>
        <w:jc w:val="both"/>
        <w:rPr>
          <w:lang w:val="fr-BE"/>
        </w:rPr>
      </w:pPr>
    </w:p>
    <w:p w14:paraId="4BA90CBB" w14:textId="420DD911" w:rsidR="00730FB3" w:rsidRPr="00A32FD0" w:rsidRDefault="00730FB3" w:rsidP="009875B8">
      <w:pPr>
        <w:snapToGrid w:val="0"/>
        <w:spacing w:after="120" w:line="240" w:lineRule="auto"/>
        <w:jc w:val="both"/>
        <w:rPr>
          <w:lang w:val="fr-BE"/>
        </w:rPr>
      </w:pPr>
    </w:p>
    <w:p w14:paraId="284D346C" w14:textId="27DAF0D6" w:rsidR="00730FB3" w:rsidRPr="00A32FD0" w:rsidRDefault="00730FB3" w:rsidP="009875B8">
      <w:pPr>
        <w:snapToGrid w:val="0"/>
        <w:spacing w:after="120" w:line="240" w:lineRule="auto"/>
        <w:jc w:val="both"/>
        <w:rPr>
          <w:lang w:val="fr-BE"/>
        </w:rPr>
      </w:pPr>
    </w:p>
    <w:p w14:paraId="1556107F" w14:textId="4F0BB29E" w:rsidR="00730FB3" w:rsidRPr="00A32FD0" w:rsidRDefault="00730FB3" w:rsidP="009875B8">
      <w:pPr>
        <w:snapToGrid w:val="0"/>
        <w:spacing w:after="120" w:line="240" w:lineRule="auto"/>
        <w:jc w:val="both"/>
        <w:rPr>
          <w:lang w:val="fr-BE"/>
        </w:rPr>
      </w:pPr>
    </w:p>
    <w:p w14:paraId="0ED02C38" w14:textId="7B8BE06C" w:rsidR="00054D99" w:rsidRDefault="00054D99" w:rsidP="009875B8">
      <w:pPr>
        <w:snapToGrid w:val="0"/>
        <w:spacing w:after="120" w:line="240" w:lineRule="auto"/>
        <w:jc w:val="both"/>
        <w:rPr>
          <w:lang w:val="fr-BE"/>
        </w:rPr>
      </w:pPr>
    </w:p>
    <w:p w14:paraId="402D9C06" w14:textId="780E1D47" w:rsidR="00353097" w:rsidRDefault="00353097" w:rsidP="009875B8">
      <w:pPr>
        <w:snapToGrid w:val="0"/>
        <w:spacing w:after="120" w:line="240" w:lineRule="auto"/>
        <w:jc w:val="both"/>
        <w:rPr>
          <w:lang w:val="fr-BE"/>
        </w:rPr>
      </w:pPr>
    </w:p>
    <w:p w14:paraId="508614DE" w14:textId="74E6CBA0" w:rsidR="00353097" w:rsidRDefault="00353097" w:rsidP="009875B8">
      <w:pPr>
        <w:snapToGrid w:val="0"/>
        <w:spacing w:after="120" w:line="240" w:lineRule="auto"/>
        <w:jc w:val="both"/>
        <w:rPr>
          <w:lang w:val="fr-BE"/>
        </w:rPr>
      </w:pPr>
    </w:p>
    <w:p w14:paraId="551EA0C0" w14:textId="016AC9BB" w:rsidR="00353097" w:rsidRDefault="00353097" w:rsidP="009875B8">
      <w:pPr>
        <w:snapToGrid w:val="0"/>
        <w:spacing w:after="120" w:line="240" w:lineRule="auto"/>
        <w:jc w:val="both"/>
        <w:rPr>
          <w:lang w:val="fr-BE"/>
        </w:rPr>
      </w:pPr>
    </w:p>
    <w:p w14:paraId="78C9C41A" w14:textId="020146BC" w:rsidR="00353097" w:rsidRDefault="00353097" w:rsidP="009875B8">
      <w:pPr>
        <w:snapToGrid w:val="0"/>
        <w:spacing w:after="120" w:line="240" w:lineRule="auto"/>
        <w:jc w:val="both"/>
        <w:rPr>
          <w:lang w:val="fr-BE"/>
        </w:rPr>
      </w:pPr>
    </w:p>
    <w:p w14:paraId="06033BDE" w14:textId="3FCD38F5" w:rsidR="00353097" w:rsidRDefault="00353097" w:rsidP="009875B8">
      <w:pPr>
        <w:snapToGrid w:val="0"/>
        <w:spacing w:after="120" w:line="240" w:lineRule="auto"/>
        <w:jc w:val="both"/>
        <w:rPr>
          <w:lang w:val="fr-BE"/>
        </w:rPr>
      </w:pPr>
    </w:p>
    <w:p w14:paraId="3F0EF548" w14:textId="61E6272E" w:rsidR="00353097" w:rsidRDefault="00353097" w:rsidP="009875B8">
      <w:pPr>
        <w:snapToGrid w:val="0"/>
        <w:spacing w:after="120" w:line="240" w:lineRule="auto"/>
        <w:jc w:val="both"/>
        <w:rPr>
          <w:lang w:val="fr-BE"/>
        </w:rPr>
      </w:pPr>
    </w:p>
    <w:p w14:paraId="5579EFB1" w14:textId="498C1D2A" w:rsidR="00353097" w:rsidRDefault="00353097" w:rsidP="009875B8">
      <w:pPr>
        <w:snapToGrid w:val="0"/>
        <w:spacing w:after="120" w:line="240" w:lineRule="auto"/>
        <w:jc w:val="both"/>
        <w:rPr>
          <w:lang w:val="fr-BE"/>
        </w:rPr>
      </w:pPr>
    </w:p>
    <w:p w14:paraId="1F47A3E9" w14:textId="5B9D5B32" w:rsidR="00353097" w:rsidRDefault="00353097" w:rsidP="009875B8">
      <w:pPr>
        <w:snapToGrid w:val="0"/>
        <w:spacing w:after="120" w:line="240" w:lineRule="auto"/>
        <w:jc w:val="both"/>
        <w:rPr>
          <w:lang w:val="fr-BE"/>
        </w:rPr>
      </w:pPr>
    </w:p>
    <w:p w14:paraId="3EC06940" w14:textId="7F603EA3" w:rsidR="00353097" w:rsidRDefault="00353097" w:rsidP="009875B8">
      <w:pPr>
        <w:snapToGrid w:val="0"/>
        <w:spacing w:after="120" w:line="240" w:lineRule="auto"/>
        <w:jc w:val="both"/>
        <w:rPr>
          <w:lang w:val="fr-BE"/>
        </w:rPr>
      </w:pPr>
    </w:p>
    <w:p w14:paraId="2A4FF3F2" w14:textId="718C1B5B" w:rsidR="00353097" w:rsidRDefault="00353097" w:rsidP="009875B8">
      <w:pPr>
        <w:snapToGrid w:val="0"/>
        <w:spacing w:after="120" w:line="240" w:lineRule="auto"/>
        <w:jc w:val="both"/>
        <w:rPr>
          <w:lang w:val="fr-BE"/>
        </w:rPr>
      </w:pPr>
    </w:p>
    <w:p w14:paraId="27026D78" w14:textId="77777777" w:rsidR="00353097" w:rsidRPr="00A32FD0" w:rsidRDefault="00353097" w:rsidP="009875B8">
      <w:pPr>
        <w:snapToGrid w:val="0"/>
        <w:spacing w:after="120" w:line="240" w:lineRule="auto"/>
        <w:jc w:val="both"/>
        <w:rPr>
          <w:lang w:val="fr-BE"/>
        </w:rPr>
      </w:pPr>
    </w:p>
    <w:p w14:paraId="49A56F15" w14:textId="5B506ABB" w:rsidR="00054D99" w:rsidRPr="00A32FD0" w:rsidRDefault="00054D99" w:rsidP="009875B8">
      <w:pPr>
        <w:snapToGrid w:val="0"/>
        <w:spacing w:after="120" w:line="240" w:lineRule="auto"/>
        <w:jc w:val="both"/>
        <w:rPr>
          <w:lang w:val="fr-BE"/>
        </w:rPr>
      </w:pPr>
    </w:p>
    <w:p w14:paraId="371B62F9" w14:textId="56FA5EC7" w:rsidR="00054D99" w:rsidRPr="00A32FD0" w:rsidRDefault="00054D99" w:rsidP="009875B8">
      <w:pPr>
        <w:snapToGrid w:val="0"/>
        <w:spacing w:after="120" w:line="240" w:lineRule="auto"/>
        <w:jc w:val="both"/>
        <w:rPr>
          <w:lang w:val="fr-BE"/>
        </w:rPr>
      </w:pPr>
    </w:p>
    <w:p w14:paraId="5E12D821" w14:textId="7FDB56F1" w:rsidR="00054D99" w:rsidRPr="00A32FD0" w:rsidRDefault="00054D99" w:rsidP="009875B8">
      <w:pPr>
        <w:snapToGrid w:val="0"/>
        <w:spacing w:after="120" w:line="240" w:lineRule="auto"/>
        <w:jc w:val="both"/>
        <w:rPr>
          <w:lang w:val="fr-BE"/>
        </w:rPr>
      </w:pPr>
    </w:p>
    <w:p w14:paraId="123C80AD" w14:textId="6F439F2A" w:rsidR="00852C90" w:rsidRPr="00BE4548" w:rsidRDefault="00852C90" w:rsidP="00852C90">
      <w:pPr>
        <w:pStyle w:val="Vade-mecumtitre1"/>
        <w:numPr>
          <w:ilvl w:val="0"/>
          <w:numId w:val="0"/>
        </w:numPr>
        <w:ind w:left="432" w:hanging="432"/>
        <w:rPr>
          <w:sz w:val="40"/>
          <w:szCs w:val="40"/>
          <w:lang w:val="fr-BE"/>
        </w:rPr>
      </w:pPr>
      <w:bookmarkStart w:id="563" w:name="_Toc117603246"/>
      <w:r w:rsidRPr="00BE4548">
        <w:rPr>
          <w:sz w:val="40"/>
          <w:szCs w:val="40"/>
          <w:lang w:val="fr-BE"/>
        </w:rPr>
        <w:t xml:space="preserve">B. </w:t>
      </w:r>
      <w:r w:rsidR="00EA3826" w:rsidRPr="00BE4548">
        <w:rPr>
          <w:sz w:val="40"/>
          <w:szCs w:val="40"/>
          <w:lang w:val="fr-BE"/>
        </w:rPr>
        <w:t>PRES</w:t>
      </w:r>
      <w:r w:rsidR="5FCEB9A4" w:rsidRPr="20196F6B">
        <w:rPr>
          <w:sz w:val="40"/>
          <w:szCs w:val="40"/>
          <w:lang w:val="fr-BE"/>
        </w:rPr>
        <w:t>C</w:t>
      </w:r>
      <w:r w:rsidR="00EA3826" w:rsidRPr="00BE4548">
        <w:rPr>
          <w:sz w:val="40"/>
          <w:szCs w:val="40"/>
          <w:lang w:val="fr-BE"/>
        </w:rPr>
        <w:t>RIPTIONS TECHNIQUES</w:t>
      </w:r>
      <w:bookmarkEnd w:id="563"/>
    </w:p>
    <w:p w14:paraId="6093E7B5" w14:textId="06095087" w:rsidR="004936E3" w:rsidRDefault="004936E3" w:rsidP="004936E3">
      <w:pPr>
        <w:pStyle w:val="Vade-mecumtitre1"/>
        <w:numPr>
          <w:ilvl w:val="0"/>
          <w:numId w:val="0"/>
        </w:numPr>
        <w:ind w:left="432" w:hanging="432"/>
        <w:rPr>
          <w:lang w:val="fr-BE"/>
        </w:rPr>
      </w:pPr>
      <w:bookmarkStart w:id="564" w:name="_Toc117603247"/>
      <w:r w:rsidRPr="00BE4548">
        <w:rPr>
          <w:lang w:val="fr-BE"/>
        </w:rPr>
        <w:t xml:space="preserve">B1. </w:t>
      </w:r>
      <w:r w:rsidR="00EA3826" w:rsidRPr="00BE4548">
        <w:rPr>
          <w:lang w:val="fr-BE"/>
        </w:rPr>
        <w:t>Introduction</w:t>
      </w:r>
      <w:bookmarkEnd w:id="564"/>
    </w:p>
    <w:p w14:paraId="2E630F9B" w14:textId="67CAFF37" w:rsidR="00A9109A" w:rsidRPr="00A9109A" w:rsidRDefault="00A9109A" w:rsidP="00A9109A">
      <w:pPr>
        <w:pStyle w:val="Vade-Mecum0"/>
        <w:spacing w:line="240" w:lineRule="auto"/>
        <w:jc w:val="both"/>
      </w:pPr>
      <w:r w:rsidRPr="00A9109A">
        <w:t xml:space="preserve">Cette partie contient les termes de référence de l’évaluation de l’approche belge </w:t>
      </w:r>
      <w:r w:rsidR="00A50C07">
        <w:t xml:space="preserve">en matière de </w:t>
      </w:r>
      <w:r w:rsidR="00DC261A">
        <w:t>fragilité</w:t>
      </w:r>
      <w:r w:rsidR="00DC261A" w:rsidRPr="00A9109A">
        <w:t xml:space="preserve"> prévue</w:t>
      </w:r>
      <w:r w:rsidRPr="00A9109A">
        <w:t xml:space="preserve"> dans la programmation indicative 2020-2022 du Service de l’Evaluation spéciale (SES). Le SES est habilité à évaluer la Coopération belge au Développement. C’est un service d’évaluation externe, placé administrativement sous l’autorité du Président du Comité de Direction du Service Public Fédéral Affaires étrangères, Commerce extérieur et Coopération au Développement. Les évaluations du SES visent à rendre compte de l'utilisation des fonds publics, </w:t>
      </w:r>
      <w:r w:rsidR="00DF0E34">
        <w:t>à</w:t>
      </w:r>
      <w:r w:rsidR="00DF0E34" w:rsidRPr="00A9109A">
        <w:t xml:space="preserve"> </w:t>
      </w:r>
      <w:r w:rsidRPr="00A9109A">
        <w:t>tirer des leçons de ce qui fonctionne et ce qui ne fonctionne pas, afin d'améliorer la Coopération belge au Développement et de soutenir la prise de décision.</w:t>
      </w:r>
    </w:p>
    <w:p w14:paraId="77C7390B" w14:textId="77777777" w:rsidR="00A9109A" w:rsidRPr="00A9109A" w:rsidRDefault="004936E3" w:rsidP="00A9109A">
      <w:pPr>
        <w:pStyle w:val="Vade-mecumtitre1"/>
        <w:numPr>
          <w:ilvl w:val="0"/>
          <w:numId w:val="0"/>
        </w:numPr>
        <w:rPr>
          <w:rFonts w:eastAsiaTheme="minorHAnsi" w:cstheme="minorBidi"/>
          <w:color w:val="917562"/>
          <w:sz w:val="30"/>
          <w:szCs w:val="26"/>
          <w:lang w:val="fr-BE"/>
        </w:rPr>
      </w:pPr>
      <w:bookmarkStart w:id="565" w:name="_Toc117603248"/>
      <w:bookmarkStart w:id="566" w:name="_Toc450715815"/>
      <w:r>
        <w:t xml:space="preserve">B2. </w:t>
      </w:r>
      <w:r w:rsidR="00EA3826">
        <w:t>Contexte institutionnel</w:t>
      </w:r>
      <w:bookmarkEnd w:id="565"/>
    </w:p>
    <w:p w14:paraId="38E0E1F9" w14:textId="72A9D116" w:rsidR="00EA3826" w:rsidRDefault="0093139E" w:rsidP="0093139E">
      <w:pPr>
        <w:pStyle w:val="Vade-mecumtitre2"/>
      </w:pPr>
      <w:bookmarkStart w:id="567" w:name="_Toc117603249"/>
      <w:r w:rsidRPr="00226DDF">
        <w:t>B</w:t>
      </w:r>
      <w:r w:rsidR="003E1B01">
        <w:t>2</w:t>
      </w:r>
      <w:r w:rsidRPr="00226DDF">
        <w:t xml:space="preserve">.1 </w:t>
      </w:r>
      <w:r w:rsidR="000F3E96">
        <w:t>Le débat international</w:t>
      </w:r>
      <w:r w:rsidR="000F3E96">
        <w:rPr>
          <w:rStyle w:val="FootnoteReference"/>
        </w:rPr>
        <w:footnoteReference w:id="4"/>
      </w:r>
      <w:bookmarkEnd w:id="567"/>
    </w:p>
    <w:p w14:paraId="34E80E10" w14:textId="69047683" w:rsidR="00ED72B9" w:rsidRDefault="00ED72B9" w:rsidP="00ED72B9">
      <w:pPr>
        <w:pStyle w:val="Vade-Mecum0"/>
        <w:spacing w:line="240" w:lineRule="auto"/>
        <w:jc w:val="both"/>
      </w:pPr>
      <w:r w:rsidRPr="00ED72B9">
        <w:rPr>
          <w:b/>
          <w:bCs/>
        </w:rPr>
        <w:t>États de fragilité.</w:t>
      </w:r>
      <w:r>
        <w:t xml:space="preserve"> Au cours des deux dernières décennies, la fragilité est devenue une thématique importante dans le domaine de la coopération au développement. Depuis 2005, l'OCDE publie des rapports (bis-)annuels portant sur les tendances et les données relatives aux contextes fragiles. Le rapport le plus récent (OCDE, 2022)</w:t>
      </w:r>
      <w:r w:rsidR="00032F62">
        <w:rPr>
          <w:rStyle w:val="FootnoteReference"/>
        </w:rPr>
        <w:footnoteReference w:id="5"/>
      </w:r>
      <w:r>
        <w:t xml:space="preserve"> recense 60 pays et territoires dans la catégorie des contextes fragiles (contre 57 en 2020). Ceux-ci abritent environ un quart de la population mondiale et plus de trois quarts des personnes vivant dans une extrême pauvreté. Non seulement la fragilité est considérée comme un facteur d'instabilité locale, régionale et mondiale, mais elle apparaît également comme un obstacle majeur à la réalisation des objectifs </w:t>
      </w:r>
      <w:r w:rsidR="47779557">
        <w:t>de l’Agenda</w:t>
      </w:r>
      <w:r>
        <w:t xml:space="preserve"> 2030 (Marley &amp; Desai, 2020). La réalisation des Objectifs de développement durable (ODD) consacrés à la lutte contre la famine, à la santé et à l'égalité des genres reste hors de portée des pays et régions fragiles. Pour d'autres ODD, les perspectives s'annoncent tout aussi sombres, tandis qu'en parallèle, </w:t>
      </w:r>
      <w:r w:rsidR="006254A3">
        <w:t>l’</w:t>
      </w:r>
      <w:r w:rsidR="0029794E">
        <w:t>é</w:t>
      </w:r>
      <w:r w:rsidR="006254A3">
        <w:t>cart de progrès entre les contextes fragiles et non fragile</w:t>
      </w:r>
      <w:r w:rsidR="0029794E">
        <w:t xml:space="preserve">s </w:t>
      </w:r>
      <w:r>
        <w:t>continue de se creuser. Ce constat vaut tout particulièrement pour les 15 contextes extrêmement fragiles</w:t>
      </w:r>
      <w:r w:rsidR="00CB6498">
        <w:rPr>
          <w:rStyle w:val="FootnoteReference"/>
        </w:rPr>
        <w:footnoteReference w:id="6"/>
      </w:r>
      <w:r>
        <w:t xml:space="preserve"> recensés dans le rapport États de fragilité 2022 (contre 13 en 2020), ce qui suscite de vives inquiétudes sur le risque de voir les pays les plus à la traîne accuser encore davantage de retard. </w:t>
      </w:r>
    </w:p>
    <w:p w14:paraId="457056A0" w14:textId="4A2E471F" w:rsidR="00ED72B9" w:rsidRDefault="00ED72B9" w:rsidP="00ED72B9">
      <w:pPr>
        <w:pStyle w:val="Vade-Mecum0"/>
        <w:spacing w:line="240" w:lineRule="auto"/>
        <w:jc w:val="both"/>
      </w:pPr>
      <w:r w:rsidRPr="00ED72B9">
        <w:rPr>
          <w:b/>
          <w:bCs/>
        </w:rPr>
        <w:t>Un concept multidimensionnel.</w:t>
      </w:r>
      <w:r>
        <w:t xml:space="preserve"> Initialement, la fragilité était surtout associée à l'incapacité ou au refus d'un État de fournir ou d'organiser la sécurité et d'autres services indispensables à ses citoyens. </w:t>
      </w:r>
      <w:r w:rsidR="002544B1">
        <w:t>L</w:t>
      </w:r>
      <w:r>
        <w:t>a loi belge de 2013 relative à la Coopération au Développement</w:t>
      </w:r>
      <w:r w:rsidR="002544B1" w:rsidRPr="002544B1">
        <w:t xml:space="preserve"> </w:t>
      </w:r>
      <w:r w:rsidR="002544B1">
        <w:t>décrit</w:t>
      </w:r>
      <w:r w:rsidR="002544B1" w:rsidRPr="002544B1">
        <w:t xml:space="preserve"> </w:t>
      </w:r>
      <w:r w:rsidR="002544B1">
        <w:t>par exemple la fragilité comme étant</w:t>
      </w:r>
      <w:r>
        <w:t xml:space="preserve"> « la situation d'un État dans lequel le gouvernement et les institutions étatiques n'ont pas les moyens et/ou la volonté politique d'assurer la sécurité et la protection des citoyens, de gérer efficacement les affaires publiques et de lutter contre la pauvreté de la population ». Par la suite, d'autres dimensions ont été ajoutées. Dans le débat actuel, la fragilité est analysée dans ses dimensions économique, environnementale, politique, sociétale et de sécurité. La conscience grandissante de l'importance que revêt le capital humain dans l'appréhension et la résolution des problèmes de fragilité a conduit à l'ajout d'une nouvelle et sixième dimension dans le rapport 2022 de l’OCDE sur les États de fragilité. </w:t>
      </w:r>
    </w:p>
    <w:p w14:paraId="4E20D77C" w14:textId="3E1FC5E0" w:rsidR="0079360D" w:rsidRDefault="00ED72B9" w:rsidP="00ED72B9">
      <w:pPr>
        <w:pStyle w:val="Vade-Mecum0"/>
        <w:spacing w:line="240" w:lineRule="auto"/>
        <w:jc w:val="both"/>
      </w:pPr>
      <w:r w:rsidRPr="00ED72B9">
        <w:rPr>
          <w:b/>
          <w:bCs/>
        </w:rPr>
        <w:t>Un concept dynamique.</w:t>
      </w:r>
      <w:r>
        <w:t xml:space="preserve"> Non seulement des dimensions ont été ajoutées, mais le fait que la fragilité n'est pas une réalité statique fait l’objet d’une prise de conscience accrue. Deux éléments revêtent une importance particulière à cet égard. En premier lieu, la fragilité dépend autant des risques que de la résilience présente dans un contexte donné. Actuellement, l'OCDE définit la fragilité comme « la conjonction d'une exposition à des risques et d'une capacité insuffisante de l'État, d'un système ou d'une communauté à gérer, absorber ou atténuer ces risques » (OCDE, États de fragilité 2020, p. 17). En second lieu, la fragilité varie en intensité. Les contextes fragiles d'aujourd'hui ne sont plus considérés comme « faillis » ou « en voie de défaillance ». Ils ne partagent pas non plus le caractère binaire d'une première génération de contextes fragiles. En effet, jusqu'en 2014, l'OCDE classait les contextes en deux catégories : fragiles ou non fragiles. Aujourd'hui, ils évoluent sur une échelle dont les scores de fragilité vont de léger à extrême.</w:t>
      </w:r>
    </w:p>
    <w:p w14:paraId="29B24DF5" w14:textId="2F4FCF0F" w:rsidR="0079360D" w:rsidRDefault="0079360D" w:rsidP="0079360D">
      <w:pPr>
        <w:pStyle w:val="Vade-mecumtitre2"/>
      </w:pPr>
      <w:bookmarkStart w:id="568" w:name="_Toc117603250"/>
      <w:r>
        <w:t>B</w:t>
      </w:r>
      <w:r w:rsidR="003E1B01">
        <w:t>2</w:t>
      </w:r>
      <w:r>
        <w:t xml:space="preserve">.2 </w:t>
      </w:r>
      <w:r w:rsidRPr="0079360D">
        <w:t>Du concept à l'opérationnalisation</w:t>
      </w:r>
      <w:bookmarkEnd w:id="568"/>
    </w:p>
    <w:p w14:paraId="720B3522" w14:textId="64D5A8D8" w:rsidR="001726F0" w:rsidRPr="001726F0" w:rsidRDefault="001726F0" w:rsidP="3586E409">
      <w:pPr>
        <w:pStyle w:val="S4Normal"/>
        <w:spacing w:after="240" w:line="240" w:lineRule="auto"/>
        <w:rPr>
          <w:rFonts w:ascii="Roboto" w:hAnsi="Roboto" w:cstheme="minorBidi"/>
          <w:sz w:val="22"/>
          <w:szCs w:val="22"/>
        </w:rPr>
      </w:pPr>
      <w:r w:rsidRPr="3586E409">
        <w:rPr>
          <w:rFonts w:ascii="Roboto" w:hAnsi="Roboto" w:cstheme="minorBidi"/>
          <w:b/>
          <w:bCs/>
          <w:sz w:val="22"/>
          <w:szCs w:val="22"/>
        </w:rPr>
        <w:t>Principes d'intervention dans les contextes fragiles</w:t>
      </w:r>
      <w:r w:rsidRPr="3586E409">
        <w:rPr>
          <w:rFonts w:ascii="Roboto" w:hAnsi="Roboto" w:cstheme="minorBidi"/>
          <w:sz w:val="22"/>
          <w:szCs w:val="22"/>
        </w:rPr>
        <w:t>. La fragilité étant fortement associée à l'instabilité locale, régionale et mondiale ainsi qu'à des retards dans la réalisation d</w:t>
      </w:r>
      <w:r w:rsidR="20269F08" w:rsidRPr="3586E409">
        <w:rPr>
          <w:rFonts w:ascii="Roboto" w:hAnsi="Roboto" w:cstheme="minorBidi"/>
          <w:sz w:val="22"/>
          <w:szCs w:val="22"/>
        </w:rPr>
        <w:t>e</w:t>
      </w:r>
      <w:r w:rsidRPr="3586E409">
        <w:rPr>
          <w:rFonts w:ascii="Roboto" w:hAnsi="Roboto" w:cstheme="minorBidi"/>
          <w:sz w:val="22"/>
          <w:szCs w:val="22"/>
        </w:rPr>
        <w:t xml:space="preserve"> </w:t>
      </w:r>
      <w:r w:rsidR="4AD48CFA" w:rsidRPr="3586E409">
        <w:rPr>
          <w:rFonts w:ascii="Roboto" w:hAnsi="Roboto" w:cstheme="minorBidi"/>
          <w:sz w:val="22"/>
          <w:szCs w:val="22"/>
        </w:rPr>
        <w:t>l’Agenda</w:t>
      </w:r>
      <w:r w:rsidRPr="3586E409">
        <w:rPr>
          <w:rFonts w:ascii="Roboto" w:hAnsi="Roboto" w:cstheme="minorBidi"/>
          <w:sz w:val="22"/>
          <w:szCs w:val="22"/>
        </w:rPr>
        <w:t> 2030, les acteurs internationaux actifs dans les contextes fragiles ont été amenés à examiner et à ajuster leurs modes d'intervention. En particulier, les Principes pour l'engagement international dans les États fragiles, adoptés par l'OCDE et le Comité d’aide au développement (CAD) en 2007, constituent toujours une ligne directrice majeure à cet égard. Concrètement, il s'agit des 10 principes suivants : (i) prendre le contexte comme point de départ ; (ii) ne pas nuire ; (iii) faire du renforcement de l'État l’objectif fondamental ; (iv) accorder la priorité à la prévention ; (v) reconnaître qu’il existe des liens entre les objectifs politiques, sécuritaires et de développement ; (vi) promouvoir la non-discrimination comme fondement de sociétés stables et sans exclus ; (vii) s'aligner sur les priorités locales</w:t>
      </w:r>
      <w:r w:rsidRPr="3586E409">
        <w:rPr>
          <w:rStyle w:val="CommentReference"/>
          <w:rFonts w:ascii="Roboto" w:eastAsiaTheme="minorEastAsia" w:hAnsi="Roboto" w:cs="Calibri"/>
          <w:sz w:val="22"/>
          <w:szCs w:val="22"/>
        </w:rPr>
        <w:t> </w:t>
      </w:r>
      <w:r w:rsidRPr="3586E409">
        <w:rPr>
          <w:rFonts w:ascii="Roboto" w:hAnsi="Roboto" w:cstheme="minorBidi"/>
          <w:sz w:val="22"/>
          <w:szCs w:val="22"/>
        </w:rPr>
        <w:t xml:space="preserve">; (viii) s’accorder sur des mécanismes concrets de coordination de l’action des acteurs internationaux ; (ix) agir vite mais rester engagé assez longtemps pour avoir des chances de réussite ; et (x) éviter de créer des poches d'exclusion. </w:t>
      </w:r>
    </w:p>
    <w:p w14:paraId="330259DB" w14:textId="77777777" w:rsidR="001726F0" w:rsidRPr="001726F0" w:rsidRDefault="001726F0" w:rsidP="001726F0">
      <w:pPr>
        <w:pStyle w:val="S4Normal"/>
        <w:spacing w:after="240" w:line="240" w:lineRule="auto"/>
        <w:rPr>
          <w:rFonts w:ascii="Roboto" w:hAnsi="Roboto" w:cstheme="minorHAnsi"/>
          <w:sz w:val="22"/>
          <w:szCs w:val="22"/>
        </w:rPr>
      </w:pPr>
      <w:r w:rsidRPr="001726F0">
        <w:rPr>
          <w:rFonts w:ascii="Roboto" w:hAnsi="Roboto" w:cstheme="minorHAnsi"/>
          <w:b/>
          <w:sz w:val="22"/>
          <w:szCs w:val="22"/>
        </w:rPr>
        <w:t>Le New Deal</w:t>
      </w:r>
      <w:r w:rsidRPr="001726F0">
        <w:rPr>
          <w:rFonts w:ascii="Roboto" w:hAnsi="Roboto" w:cstheme="minorHAnsi"/>
          <w:sz w:val="22"/>
          <w:szCs w:val="22"/>
        </w:rPr>
        <w:t>. Un autre ancrage politique majeur pour les interventions dans les contextes fragiles fut le New Deal pour l'engagement dans les États fragiles. Ce New Deal, qui liait non seulement les donateurs bilatéraux mais aussi les États de fragilité bénéficiaires et les organisations internationales (réunies au sein du Dialogue international sur la consolidation de la paix et le renforcement de l'État), a vu le jour en marge du Forum de Haut Niveau de Busan en 2011. Dans l'esprit de la Déclaration de Paris (2005), le New Deal a fortement mis l'accent sur une orientation axée sur les résultats et l'appropriation nationale. Il a également fixé des objectifs explicites visant à la fois la consolidation de la paix et le renforcement de l'État. La légitimité des processus politiques menés par l'État fait notamment partie des priorités, ce qui met au premier plan une troisième dimension - souvent sous-estimée - de la fragilité, en plus du pouvoir étatique et de la capacité de l'État. Le New Deal fait également référence au degré de risque des interventions menées dans les contextes fragiles, mais souligne en même temps l’importance du risque associé à la non-intervention.</w:t>
      </w:r>
    </w:p>
    <w:p w14:paraId="7C3DEDD0" w14:textId="77777777" w:rsidR="001726F0" w:rsidRPr="001726F0" w:rsidRDefault="001726F0" w:rsidP="001726F0">
      <w:pPr>
        <w:pStyle w:val="S4Normal"/>
        <w:spacing w:after="240" w:line="240" w:lineRule="auto"/>
        <w:rPr>
          <w:rFonts w:ascii="Roboto" w:hAnsi="Roboto" w:cstheme="minorHAnsi"/>
          <w:sz w:val="22"/>
          <w:szCs w:val="22"/>
        </w:rPr>
      </w:pPr>
      <w:r w:rsidRPr="001726F0">
        <w:rPr>
          <w:rFonts w:ascii="Roboto" w:hAnsi="Roboto" w:cstheme="minorHAnsi"/>
          <w:b/>
          <w:sz w:val="22"/>
          <w:szCs w:val="22"/>
        </w:rPr>
        <w:t>Nexus aide humanitaire-développement-paix</w:t>
      </w:r>
      <w:r w:rsidRPr="001726F0">
        <w:rPr>
          <w:rFonts w:ascii="Roboto" w:hAnsi="Roboto" w:cstheme="minorHAnsi"/>
          <w:sz w:val="22"/>
          <w:szCs w:val="22"/>
        </w:rPr>
        <w:t>. En 2020, 25 % de l'ensemble de l'aide publique au développement (APD) des membres du CAD dans les pays fragiles ont été consacrés à l'aide humanitaire, 63 % à la coopération au développement et 12 % en faveur de la paix (OCDE, États de fragilité 2022). Les modalités de maximisation de l'efficacité de l'aide dans les contextes fragiles restent difficiles à déterminer. En particulier, la priorité accordée à une action internationale collective efficace dans les situations de fragilité et de conflit, où l'aide humanitaire, la coopération au développement et la consolidation de la paix se conjuguent, a considérablement gagné en importance ces dernières années. En 2019, la recommandation du CAD de l’OCDE sur le lien entre l’aide humanitaire, développement et la paix a été adoptée. Cette recommandation, qui a été formulée à l'instigation du Réseau international sur les situations de conflit et de fragilité (INCAF) et qui fait maintenant l'objet d'un pilotage opérationnel plus large dans le cadre du « Dialogue CAD-ONU sur la mise en œuvre de la recommandation du CAD », appelle les acteurs actifs dans les trois domaines précités à renforcer la cohérence politique et opérationnelle. Une récente évaluation des progrès accomplis fait état de changements positifs au niveau des attitudes et des pratiques organisationnelles, mais met également en évidence d'importants obstacles. Parmi les trois piliers, celui de la paix en particulier s'avère difficile à intégrer en raison notamment d'une mise en œuvre insuffisante des engagements politiques et des instruments diplomatiques. En outre, le cœur du nexus - cohérence et complémentarité accrues - présuppose non seulement une analyse et une programmation conjointes, mais aussi la volonté d’œuvrer à des réalisations véritablement collectives. On ne veille pas non plus suffisamment à adopter une approche du nexus prenant en compte les spécificités locales et à l’articuler avec des dimensions cruciales telles que l'égalité des genres et le changement climatique. Enfin, il est nécessaire de renforcer la « culture du nexus » auprès des différents acteurs concernés.</w:t>
      </w:r>
    </w:p>
    <w:p w14:paraId="431C7D05" w14:textId="7B640020" w:rsidR="0079360D" w:rsidRDefault="000E0791" w:rsidP="00600D30">
      <w:pPr>
        <w:pStyle w:val="Vade-mecumtitre2"/>
      </w:pPr>
      <w:bookmarkStart w:id="569" w:name="_Toc117603251"/>
      <w:r>
        <w:t>B</w:t>
      </w:r>
      <w:r w:rsidR="003E1B01">
        <w:t>2</w:t>
      </w:r>
      <w:r>
        <w:t xml:space="preserve">.3 </w:t>
      </w:r>
      <w:r w:rsidR="00A9109A">
        <w:t>L’approche belge</w:t>
      </w:r>
      <w:bookmarkEnd w:id="569"/>
      <w:r w:rsidR="00A50C07">
        <w:t xml:space="preserve"> en matière de fragilité</w:t>
      </w:r>
    </w:p>
    <w:p w14:paraId="5261E711" w14:textId="016759AF" w:rsidR="00CC51DC" w:rsidRPr="00CC51DC" w:rsidRDefault="00CC51DC" w:rsidP="00CC51DC">
      <w:pPr>
        <w:pStyle w:val="S4Normal"/>
        <w:spacing w:after="240" w:line="240" w:lineRule="auto"/>
        <w:rPr>
          <w:rFonts w:ascii="Roboto" w:hAnsi="Roboto" w:cstheme="minorHAnsi"/>
          <w:sz w:val="22"/>
          <w:szCs w:val="22"/>
        </w:rPr>
      </w:pPr>
      <w:r w:rsidRPr="00CC51DC">
        <w:rPr>
          <w:rFonts w:ascii="Roboto" w:hAnsi="Roboto" w:cstheme="minorHAnsi"/>
          <w:b/>
          <w:sz w:val="22"/>
          <w:szCs w:val="22"/>
        </w:rPr>
        <w:t>Politique et stratégie</w:t>
      </w:r>
      <w:r w:rsidRPr="00CC51DC">
        <w:rPr>
          <w:rFonts w:ascii="Roboto" w:hAnsi="Roboto" w:cstheme="minorHAnsi"/>
          <w:sz w:val="22"/>
          <w:szCs w:val="22"/>
        </w:rPr>
        <w:t>. La loi belge de 2013 relative à la Coopération au Développement place la notion de fragilité au rang des critères permettant de sélectionner les pays partenaires de la coopération gouvernementale. La note stratégique sur les situations de fragilité avait été publiée la même année. L'objectif formulé dans cette note stratégique est le suivant : « </w:t>
      </w:r>
      <w:r w:rsidR="000971C0">
        <w:rPr>
          <w:rFonts w:ascii="Roboto" w:hAnsi="Roboto" w:cstheme="minorHAnsi"/>
          <w:sz w:val="22"/>
          <w:szCs w:val="22"/>
        </w:rPr>
        <w:t>l</w:t>
      </w:r>
      <w:r w:rsidRPr="00CC51DC">
        <w:rPr>
          <w:rFonts w:ascii="Roboto" w:hAnsi="Roboto" w:cstheme="minorHAnsi"/>
          <w:sz w:val="22"/>
          <w:szCs w:val="22"/>
        </w:rPr>
        <w:t>a coopération belge contribue à la mise en place d’un État efficace, légitime et résilient, et au renforcement de l’État (</w:t>
      </w:r>
      <w:r w:rsidRPr="00CC51DC">
        <w:rPr>
          <w:rFonts w:ascii="Roboto" w:hAnsi="Roboto" w:cstheme="minorHAnsi"/>
          <w:i/>
          <w:sz w:val="22"/>
          <w:szCs w:val="22"/>
        </w:rPr>
        <w:t>Statebuilding</w:t>
      </w:r>
      <w:r w:rsidRPr="00CC51DC">
        <w:rPr>
          <w:rFonts w:ascii="Roboto" w:hAnsi="Roboto" w:cstheme="minorHAnsi"/>
          <w:sz w:val="22"/>
          <w:szCs w:val="22"/>
        </w:rPr>
        <w:t>) et de la population des pays partenaires en situation de fragilité et au renforcement des relations entre les instances étatiques et la population, c’est-à-dire au renforcement de la légitimité de l’État ». Le cadre international relatif à la fragilité constitue le fil conducteur principal de ce document. Les principes directeurs et les objectifs à long terme de l'approche belge en matière de fragilité s'inspirent du New Deal précité ainsi que des Principes du CAD de l’OCDE pour l’engagement international dans les États fragiles. Par ailleurs, la note met en avant les priorités belges, notamment en matière d'égalité des genres, de transition de l'aide humanitaire vers le développement, de gouvernance démocratique et de rationalité de l'architecture de l'aide. Autre élément important : la note souligne expressément que l'approche de la fragilité concerne l’ensemble des canaux d'aide, et dépasse donc le domaine purement gouvernemental.</w:t>
      </w:r>
    </w:p>
    <w:p w14:paraId="10EA4721" w14:textId="378C0E8D" w:rsidR="00CC51DC" w:rsidRPr="00CC51DC" w:rsidRDefault="00CC51DC" w:rsidP="00CC51DC">
      <w:pPr>
        <w:pStyle w:val="S4Normal"/>
        <w:spacing w:after="240" w:line="240" w:lineRule="auto"/>
        <w:rPr>
          <w:rFonts w:ascii="Roboto" w:hAnsi="Roboto" w:cstheme="minorHAnsi"/>
          <w:sz w:val="22"/>
          <w:szCs w:val="22"/>
        </w:rPr>
      </w:pPr>
      <w:r w:rsidRPr="00CC51DC">
        <w:rPr>
          <w:rFonts w:ascii="Roboto" w:hAnsi="Roboto" w:cstheme="minorHAnsi"/>
          <w:b/>
          <w:sz w:val="22"/>
          <w:szCs w:val="22"/>
        </w:rPr>
        <w:t>Élaboration</w:t>
      </w:r>
      <w:r w:rsidRPr="00CC51DC">
        <w:rPr>
          <w:rFonts w:ascii="Roboto" w:hAnsi="Roboto" w:cstheme="minorHAnsi"/>
          <w:sz w:val="22"/>
          <w:szCs w:val="22"/>
        </w:rPr>
        <w:t>. L'approche belge en matière de fragilité a été approfondie et affinée à partir de 2015. Ces efforts se sont principalement concrétisés à deux niveaux : la recherche en appui à la politique et la participation aux travaux de l'INCAF</w:t>
      </w:r>
      <w:r w:rsidRPr="00CC51DC">
        <w:rPr>
          <w:rStyle w:val="FootnoteReference"/>
          <w:rFonts w:ascii="Roboto" w:hAnsi="Roboto" w:cstheme="minorHAnsi"/>
          <w:sz w:val="22"/>
          <w:szCs w:val="22"/>
        </w:rPr>
        <w:footnoteReference w:id="7"/>
      </w:r>
      <w:r w:rsidRPr="00CC51DC">
        <w:rPr>
          <w:rFonts w:ascii="Roboto" w:hAnsi="Roboto" w:cstheme="minorHAnsi"/>
          <w:sz w:val="22"/>
          <w:szCs w:val="22"/>
        </w:rPr>
        <w:t>. Entre 2015 et 2017, des chercheurs universitaires ont mené une étude participative, tant en Belgique que sur le terrain et à travers les différents canaux de la coopération belge au développement, autour de l'élaboration et de la mise en œuvre de l'approche de la fragilité. Cette démarche a notamment débouché sur une « orientation sur la fragilité » (2017), une « feuille de route pour une approche globale de la politique belge de développement » (2018) et l'outil FRAME (</w:t>
      </w:r>
      <w:r w:rsidRPr="00CC51DC">
        <w:rPr>
          <w:rFonts w:ascii="Roboto" w:hAnsi="Roboto" w:cstheme="minorHAnsi"/>
          <w:i/>
          <w:sz w:val="22"/>
          <w:szCs w:val="22"/>
        </w:rPr>
        <w:t>Fragility and Resilience Assessment and Management Exercise</w:t>
      </w:r>
      <w:r w:rsidRPr="00CC51DC">
        <w:rPr>
          <w:rFonts w:ascii="Roboto" w:hAnsi="Roboto" w:cstheme="minorHAnsi"/>
          <w:sz w:val="22"/>
          <w:szCs w:val="22"/>
        </w:rPr>
        <w:t xml:space="preserve">), qui standardise l'analyse des risques dans les pays partenaires fragiles selon les cinq dimensions de fragilité établies par le CAD de l’OCDE. Outre cette recherche en appui à la politique, la Belgique a également participé activement aux activités d'orientation politique et de sensibilisation de l'INCAF. Ces dernières années, c'est le service D5.2 (Développement Transitionnel et Gouvernance), récemment créé, qui, sur la base d'une analyse des causes profondes de la fragilité, tente d'apporter des réponses appropriées dans le cadre de la </w:t>
      </w:r>
      <w:r w:rsidR="00147818">
        <w:rPr>
          <w:rFonts w:ascii="Roboto" w:hAnsi="Roboto" w:cstheme="minorHAnsi"/>
          <w:sz w:val="22"/>
          <w:szCs w:val="22"/>
        </w:rPr>
        <w:t>C</w:t>
      </w:r>
      <w:r w:rsidRPr="00CC51DC">
        <w:rPr>
          <w:rFonts w:ascii="Roboto" w:hAnsi="Roboto" w:cstheme="minorHAnsi"/>
          <w:sz w:val="22"/>
          <w:szCs w:val="22"/>
        </w:rPr>
        <w:t xml:space="preserve">oopération belge au </w:t>
      </w:r>
      <w:r w:rsidR="00147818">
        <w:rPr>
          <w:rFonts w:ascii="Roboto" w:hAnsi="Roboto" w:cstheme="minorHAnsi"/>
          <w:sz w:val="22"/>
          <w:szCs w:val="22"/>
        </w:rPr>
        <w:t>D</w:t>
      </w:r>
      <w:r w:rsidRPr="00CC51DC">
        <w:rPr>
          <w:rFonts w:ascii="Roboto" w:hAnsi="Roboto" w:cstheme="minorHAnsi"/>
          <w:sz w:val="22"/>
          <w:szCs w:val="22"/>
        </w:rPr>
        <w:t xml:space="preserve">éveloppement. Ces réponses s'inscrivent explicitement dans l'approche du nexus évoquée ci-dessus, qui a reçu une traduction politique au niveau pangouvernemental belge en 2017 sous la forme d'une note stratégique </w:t>
      </w:r>
      <w:r w:rsidR="00147818">
        <w:rPr>
          <w:rFonts w:ascii="Roboto" w:hAnsi="Roboto" w:cstheme="minorHAnsi"/>
          <w:sz w:val="22"/>
          <w:szCs w:val="22"/>
        </w:rPr>
        <w:t>‘A</w:t>
      </w:r>
      <w:r w:rsidRPr="00CC51DC">
        <w:rPr>
          <w:rFonts w:ascii="Roboto" w:hAnsi="Roboto" w:cstheme="minorHAnsi"/>
          <w:sz w:val="22"/>
          <w:szCs w:val="22"/>
        </w:rPr>
        <w:t xml:space="preserve">pproche </w:t>
      </w:r>
      <w:r w:rsidR="0074774B">
        <w:rPr>
          <w:rFonts w:ascii="Roboto" w:hAnsi="Roboto" w:cstheme="minorHAnsi"/>
          <w:sz w:val="22"/>
          <w:szCs w:val="22"/>
        </w:rPr>
        <w:t>G</w:t>
      </w:r>
      <w:r w:rsidRPr="00CC51DC">
        <w:rPr>
          <w:rFonts w:ascii="Roboto" w:hAnsi="Roboto" w:cstheme="minorHAnsi"/>
          <w:sz w:val="22"/>
          <w:szCs w:val="22"/>
        </w:rPr>
        <w:t>lobale</w:t>
      </w:r>
      <w:r w:rsidR="00147818">
        <w:rPr>
          <w:rFonts w:ascii="Roboto" w:hAnsi="Roboto" w:cstheme="minorHAnsi"/>
          <w:sz w:val="22"/>
          <w:szCs w:val="22"/>
        </w:rPr>
        <w:t>’</w:t>
      </w:r>
      <w:r w:rsidRPr="00CC51DC">
        <w:rPr>
          <w:rFonts w:ascii="Roboto" w:hAnsi="Roboto" w:cstheme="minorHAnsi"/>
          <w:sz w:val="22"/>
          <w:szCs w:val="22"/>
        </w:rPr>
        <w:t>. Plusieurs task forces interdépartementales ont été créées dans la foulée de cette note stratégique, notamment pour la région du Sahel et la région des Grands Lacs.</w:t>
      </w:r>
      <w:r w:rsidR="002B74FD" w:rsidRPr="002B74FD">
        <w:t xml:space="preserve"> </w:t>
      </w:r>
      <w:r w:rsidR="002B74FD" w:rsidRPr="002B74FD">
        <w:rPr>
          <w:rFonts w:ascii="Roboto" w:hAnsi="Roboto" w:cstheme="minorHAnsi"/>
          <w:sz w:val="22"/>
          <w:szCs w:val="22"/>
        </w:rPr>
        <w:t xml:space="preserve">En 2022, la DGD a lancé un nouveau programme </w:t>
      </w:r>
      <w:r w:rsidR="002B74FD">
        <w:rPr>
          <w:rFonts w:ascii="Roboto" w:hAnsi="Roboto" w:cstheme="minorHAnsi"/>
          <w:sz w:val="22"/>
          <w:szCs w:val="22"/>
        </w:rPr>
        <w:t>d’appui aux politiques</w:t>
      </w:r>
      <w:r w:rsidR="00751517">
        <w:rPr>
          <w:rFonts w:ascii="Roboto" w:hAnsi="Roboto" w:cstheme="minorHAnsi"/>
          <w:sz w:val="22"/>
          <w:szCs w:val="22"/>
        </w:rPr>
        <w:t xml:space="preserve"> (Policy Support</w:t>
      </w:r>
      <w:r w:rsidR="00537E9E">
        <w:rPr>
          <w:rFonts w:ascii="Roboto" w:hAnsi="Roboto" w:cstheme="minorHAnsi"/>
          <w:sz w:val="22"/>
          <w:szCs w:val="22"/>
        </w:rPr>
        <w:t>ing</w:t>
      </w:r>
      <w:r w:rsidR="00751517">
        <w:rPr>
          <w:rFonts w:ascii="Roboto" w:hAnsi="Roboto" w:cstheme="minorHAnsi"/>
          <w:sz w:val="22"/>
          <w:szCs w:val="22"/>
        </w:rPr>
        <w:t xml:space="preserve"> Research</w:t>
      </w:r>
      <w:r w:rsidR="00680509">
        <w:rPr>
          <w:rFonts w:ascii="Roboto" w:hAnsi="Roboto" w:cstheme="minorHAnsi"/>
          <w:sz w:val="22"/>
          <w:szCs w:val="22"/>
        </w:rPr>
        <w:t>, PSR)</w:t>
      </w:r>
      <w:r w:rsidR="002B74FD">
        <w:rPr>
          <w:rFonts w:ascii="Roboto" w:hAnsi="Roboto" w:cstheme="minorHAnsi"/>
          <w:sz w:val="22"/>
          <w:szCs w:val="22"/>
        </w:rPr>
        <w:t xml:space="preserve"> </w:t>
      </w:r>
      <w:r w:rsidR="002B74FD" w:rsidRPr="002B74FD">
        <w:rPr>
          <w:rFonts w:ascii="Roboto" w:hAnsi="Roboto" w:cstheme="minorHAnsi"/>
          <w:sz w:val="22"/>
          <w:szCs w:val="22"/>
        </w:rPr>
        <w:t>qui se concentre également sur la fragilité.</w:t>
      </w:r>
    </w:p>
    <w:p w14:paraId="06B76933" w14:textId="77777777" w:rsidR="00CC51DC" w:rsidRPr="00CC51DC" w:rsidRDefault="00CC51DC" w:rsidP="00CC51DC">
      <w:pPr>
        <w:pStyle w:val="S4Normal"/>
        <w:spacing w:after="240" w:line="240" w:lineRule="auto"/>
        <w:rPr>
          <w:rFonts w:ascii="Roboto" w:hAnsi="Roboto" w:cstheme="minorHAnsi"/>
          <w:sz w:val="22"/>
          <w:szCs w:val="22"/>
        </w:rPr>
      </w:pPr>
      <w:r w:rsidRPr="00CC51DC">
        <w:rPr>
          <w:rFonts w:ascii="Roboto" w:hAnsi="Roboto" w:cstheme="minorHAnsi"/>
          <w:sz w:val="22"/>
          <w:szCs w:val="22"/>
        </w:rPr>
        <w:t>Outre l'INCAF, le service D5.2 suit également d'autres acteurs internationaux qui accordent à la fragilité une place centrale dans la réflexion stratégique, parmi lesquels l'Union européenne, la Banque mondiale et la Banque africaine de développement.</w:t>
      </w:r>
    </w:p>
    <w:p w14:paraId="7CFE95E9" w14:textId="198BE1AA" w:rsidR="00CC51DC" w:rsidRPr="00CC51DC" w:rsidRDefault="00CC51DC" w:rsidP="0FF99841">
      <w:pPr>
        <w:pStyle w:val="S4Normal"/>
        <w:spacing w:before="0" w:after="240" w:line="240" w:lineRule="auto"/>
        <w:rPr>
          <w:rFonts w:ascii="Roboto" w:hAnsi="Roboto" w:cstheme="minorBidi"/>
          <w:sz w:val="22"/>
          <w:szCs w:val="22"/>
        </w:rPr>
      </w:pPr>
      <w:r w:rsidRPr="0FF99841">
        <w:rPr>
          <w:rFonts w:ascii="Roboto" w:hAnsi="Roboto" w:cstheme="minorBidi"/>
          <w:sz w:val="22"/>
          <w:szCs w:val="22"/>
        </w:rPr>
        <w:t>L'</w:t>
      </w:r>
      <w:r w:rsidR="00A9109A" w:rsidRPr="0FF99841">
        <w:rPr>
          <w:rFonts w:ascii="Roboto" w:hAnsi="Roboto" w:cstheme="minorBidi"/>
          <w:sz w:val="22"/>
          <w:szCs w:val="22"/>
        </w:rPr>
        <w:t xml:space="preserve">examen </w:t>
      </w:r>
      <w:r w:rsidRPr="0FF99841">
        <w:rPr>
          <w:rFonts w:ascii="Roboto" w:hAnsi="Roboto" w:cstheme="minorBidi"/>
          <w:sz w:val="22"/>
          <w:szCs w:val="22"/>
        </w:rPr>
        <w:t>par les pairs (202</w:t>
      </w:r>
      <w:r w:rsidR="12E57574" w:rsidRPr="0FF99841">
        <w:rPr>
          <w:rFonts w:ascii="Roboto" w:hAnsi="Roboto" w:cstheme="minorBidi"/>
          <w:sz w:val="22"/>
          <w:szCs w:val="22"/>
        </w:rPr>
        <w:t>0</w:t>
      </w:r>
      <w:r w:rsidRPr="0FF99841">
        <w:rPr>
          <w:rFonts w:ascii="Roboto" w:hAnsi="Roboto" w:cstheme="minorBidi"/>
          <w:sz w:val="22"/>
          <w:szCs w:val="22"/>
        </w:rPr>
        <w:t xml:space="preserve">) de la Coopération belge au </w:t>
      </w:r>
      <w:r w:rsidR="0074774B">
        <w:rPr>
          <w:rFonts w:ascii="Roboto" w:hAnsi="Roboto" w:cstheme="minorBidi"/>
          <w:sz w:val="22"/>
          <w:szCs w:val="22"/>
        </w:rPr>
        <w:t>D</w:t>
      </w:r>
      <w:r w:rsidRPr="0FF99841">
        <w:rPr>
          <w:rFonts w:ascii="Roboto" w:hAnsi="Roboto" w:cstheme="minorBidi"/>
          <w:sz w:val="22"/>
          <w:szCs w:val="22"/>
        </w:rPr>
        <w:t>éveloppement</w:t>
      </w:r>
      <w:r w:rsidR="0045649F" w:rsidRPr="0FF99841">
        <w:rPr>
          <w:rStyle w:val="FootnoteReference"/>
          <w:rFonts w:ascii="Roboto" w:hAnsi="Roboto" w:cstheme="minorBidi"/>
          <w:sz w:val="22"/>
          <w:szCs w:val="22"/>
        </w:rPr>
        <w:footnoteReference w:id="8"/>
      </w:r>
      <w:r w:rsidRPr="0FF99841">
        <w:rPr>
          <w:rFonts w:ascii="Roboto" w:hAnsi="Roboto" w:cstheme="minorBidi"/>
          <w:sz w:val="22"/>
          <w:szCs w:val="22"/>
        </w:rPr>
        <w:t xml:space="preserve"> souligne que le cadre institutionnel a été revu en fonction des contextes fragiles, mais relève également que l'approfondissement et la consolidation des efforts déployés jusqu’à présent restent nécessaires.</w:t>
      </w:r>
    </w:p>
    <w:p w14:paraId="79D4842A" w14:textId="2DB91911" w:rsidR="00852C90" w:rsidRPr="00404E71" w:rsidRDefault="00852C90" w:rsidP="00852C90">
      <w:pPr>
        <w:pStyle w:val="Vade-mecumtitre1"/>
        <w:numPr>
          <w:ilvl w:val="0"/>
          <w:numId w:val="0"/>
        </w:numPr>
        <w:ind w:left="432" w:hanging="432"/>
        <w:rPr>
          <w:lang w:val="fr-BE"/>
        </w:rPr>
      </w:pPr>
      <w:bookmarkStart w:id="570" w:name="_Toc450715816"/>
      <w:bookmarkStart w:id="571" w:name="_Toc29741220"/>
      <w:bookmarkStart w:id="572" w:name="_Toc35550142"/>
      <w:bookmarkStart w:id="573" w:name="_Toc117603252"/>
      <w:bookmarkEnd w:id="566"/>
      <w:r w:rsidRPr="00404E71">
        <w:rPr>
          <w:lang w:val="fr-BE"/>
        </w:rPr>
        <w:t>B</w:t>
      </w:r>
      <w:r w:rsidR="004936E3" w:rsidRPr="00404E71">
        <w:rPr>
          <w:lang w:val="fr-BE"/>
        </w:rPr>
        <w:t>3</w:t>
      </w:r>
      <w:r w:rsidR="000E3FAF">
        <w:rPr>
          <w:lang w:val="fr-BE"/>
        </w:rPr>
        <w:t>.</w:t>
      </w:r>
      <w:r w:rsidR="004936E3" w:rsidRPr="00404E71">
        <w:rPr>
          <w:lang w:val="fr-BE"/>
        </w:rPr>
        <w:t xml:space="preserve"> </w:t>
      </w:r>
      <w:bookmarkEnd w:id="570"/>
      <w:bookmarkEnd w:id="571"/>
      <w:bookmarkEnd w:id="572"/>
      <w:r w:rsidR="00404E71" w:rsidRPr="00404E71">
        <w:rPr>
          <w:lang w:val="fr-BE"/>
        </w:rPr>
        <w:t>Motifs</w:t>
      </w:r>
      <w:bookmarkEnd w:id="573"/>
    </w:p>
    <w:p w14:paraId="639D98DA" w14:textId="171E1B62" w:rsidR="00404E71" w:rsidRPr="00404E71" w:rsidRDefault="00404E71" w:rsidP="00404E71">
      <w:pPr>
        <w:spacing w:after="240" w:line="240" w:lineRule="auto"/>
        <w:jc w:val="both"/>
        <w:rPr>
          <w:rFonts w:eastAsia="Calibri" w:cs="Calibri"/>
          <w:szCs w:val="22"/>
          <w:lang w:val="fr-BE"/>
        </w:rPr>
      </w:pPr>
      <w:bookmarkStart w:id="574" w:name="_Toc450715818"/>
      <w:bookmarkStart w:id="575" w:name="_Toc29741221"/>
      <w:bookmarkStart w:id="576" w:name="_Toc35550143"/>
      <w:r w:rsidRPr="00404E71">
        <w:rPr>
          <w:rFonts w:eastAsia="Calibri" w:cs="Calibri"/>
          <w:b/>
          <w:szCs w:val="22"/>
          <w:lang w:val="fr-BE"/>
        </w:rPr>
        <w:t>Service de l’Évaluation spéciale.</w:t>
      </w:r>
      <w:r w:rsidRPr="00404E71">
        <w:rPr>
          <w:rFonts w:eastAsia="Calibri" w:cs="Calibri"/>
          <w:szCs w:val="22"/>
          <w:lang w:val="fr-BE"/>
        </w:rPr>
        <w:t xml:space="preserve"> Depuis plusieurs années, le Service de l'Évaluation spéciale (SES) s’efforce de davantage tenir compte des cycles de programmation des acteurs de la </w:t>
      </w:r>
      <w:r w:rsidR="00706279">
        <w:rPr>
          <w:rFonts w:eastAsia="Calibri" w:cs="Calibri"/>
          <w:szCs w:val="22"/>
          <w:lang w:val="fr-BE"/>
        </w:rPr>
        <w:t>C</w:t>
      </w:r>
      <w:r w:rsidRPr="00404E71">
        <w:rPr>
          <w:rFonts w:eastAsia="Calibri" w:cs="Calibri"/>
          <w:szCs w:val="22"/>
          <w:lang w:val="fr-BE"/>
        </w:rPr>
        <w:t xml:space="preserve">oopération belge au </w:t>
      </w:r>
      <w:r w:rsidR="00706279">
        <w:rPr>
          <w:rFonts w:eastAsia="Calibri" w:cs="Calibri"/>
          <w:szCs w:val="22"/>
          <w:lang w:val="fr-BE"/>
        </w:rPr>
        <w:t>D</w:t>
      </w:r>
      <w:r w:rsidRPr="00404E71">
        <w:rPr>
          <w:rFonts w:eastAsia="Calibri" w:cs="Calibri"/>
          <w:szCs w:val="22"/>
          <w:lang w:val="fr-BE"/>
        </w:rPr>
        <w:t xml:space="preserve">éveloppement et s'investit dans des évaluations à des fins stratégiques et axées sur les politiques. Les larges consultations menées précédemment par le SES ont révélé un intérêt prononcé pour une évaluation de la </w:t>
      </w:r>
      <w:r w:rsidR="00706279">
        <w:rPr>
          <w:rFonts w:eastAsia="Calibri" w:cs="Calibri"/>
          <w:szCs w:val="22"/>
          <w:lang w:val="fr-BE"/>
        </w:rPr>
        <w:t>C</w:t>
      </w:r>
      <w:r w:rsidRPr="00404E71">
        <w:rPr>
          <w:rFonts w:eastAsia="Calibri" w:cs="Calibri"/>
          <w:szCs w:val="22"/>
          <w:lang w:val="fr-BE"/>
        </w:rPr>
        <w:t xml:space="preserve">oopération belge au </w:t>
      </w:r>
      <w:r w:rsidR="00706279">
        <w:rPr>
          <w:rFonts w:eastAsia="Calibri" w:cs="Calibri"/>
          <w:szCs w:val="22"/>
          <w:lang w:val="fr-BE"/>
        </w:rPr>
        <w:t>D</w:t>
      </w:r>
      <w:r w:rsidRPr="00404E71">
        <w:rPr>
          <w:rFonts w:eastAsia="Calibri" w:cs="Calibri"/>
          <w:szCs w:val="22"/>
          <w:lang w:val="fr-BE"/>
        </w:rPr>
        <w:t>éveloppement dans des contextes fragiles. Cet intérêt a été confirmé en 2020 par le comité stratégique de la DGD.</w:t>
      </w:r>
    </w:p>
    <w:p w14:paraId="2FFDCE7E" w14:textId="7E75E2E4" w:rsidR="00404E71" w:rsidRPr="00404E71" w:rsidRDefault="00404E71" w:rsidP="00404E71">
      <w:pPr>
        <w:spacing w:after="240" w:line="240" w:lineRule="auto"/>
        <w:jc w:val="both"/>
        <w:rPr>
          <w:rFonts w:eastAsia="Calibri" w:cs="Calibri"/>
          <w:bCs/>
          <w:szCs w:val="22"/>
          <w:lang w:val="fr-BE"/>
        </w:rPr>
      </w:pPr>
      <w:r w:rsidRPr="00404E71">
        <w:rPr>
          <w:rFonts w:eastAsia="Calibri" w:cs="Calibri"/>
          <w:b/>
          <w:szCs w:val="22"/>
          <w:lang w:val="fr-BE"/>
        </w:rPr>
        <w:t xml:space="preserve">Coopération belge au </w:t>
      </w:r>
      <w:r w:rsidR="00706279">
        <w:rPr>
          <w:rFonts w:eastAsia="Calibri" w:cs="Calibri"/>
          <w:b/>
          <w:szCs w:val="22"/>
          <w:lang w:val="fr-BE"/>
        </w:rPr>
        <w:t>D</w:t>
      </w:r>
      <w:r w:rsidRPr="00404E71">
        <w:rPr>
          <w:rFonts w:eastAsia="Calibri" w:cs="Calibri"/>
          <w:b/>
          <w:szCs w:val="22"/>
          <w:lang w:val="fr-BE"/>
        </w:rPr>
        <w:t>éveloppement.</w:t>
      </w:r>
      <w:r w:rsidRPr="00404E71">
        <w:rPr>
          <w:rFonts w:eastAsia="Calibri" w:cs="Calibri"/>
          <w:szCs w:val="22"/>
          <w:lang w:val="fr-BE"/>
        </w:rPr>
        <w:t xml:space="preserve"> </w:t>
      </w:r>
      <w:r w:rsidRPr="00404E71">
        <w:rPr>
          <w:rFonts w:eastAsia="Calibri" w:cs="Calibri"/>
          <w:bCs/>
          <w:szCs w:val="22"/>
          <w:lang w:val="fr-BE"/>
        </w:rPr>
        <w:t xml:space="preserve">La Belgique concentre une partie considérable de son aide publique au développement (APD) dans des contextes fragiles. Alors que jusqu'en 2019, huit des dix-huit pays partenaires de la coopération gouvernementale étaient considérés comme fragiles, après la sortie de six pays partenaires et l'ajout de deux nouveaux pays partenaires (Guinée et Burkina Faso), le bilan est passé à onze pays fragiles sur les quatorze selon le dernier rapport </w:t>
      </w:r>
      <w:r w:rsidRPr="00404E71">
        <w:rPr>
          <w:rFonts w:eastAsia="Calibri" w:cs="Calibri"/>
          <w:bCs/>
          <w:i/>
          <w:iCs/>
          <w:szCs w:val="22"/>
          <w:lang w:val="fr-BE"/>
        </w:rPr>
        <w:t>États de fragilité</w:t>
      </w:r>
      <w:r w:rsidRPr="00404E71">
        <w:rPr>
          <w:rFonts w:eastAsia="Calibri" w:cs="Calibri"/>
          <w:bCs/>
          <w:szCs w:val="22"/>
          <w:lang w:val="fr-BE"/>
        </w:rPr>
        <w:t xml:space="preserve"> (2022). Sur ces onze pays, le Burundi et la RDC sont considérés comme extrêmement fragiles. Ce basculement significatif dans la proportion de pays partenaires fragiles renforce dès lors la nécessité de réaliser une évaluation de l'approche en matière de fragilité de la </w:t>
      </w:r>
      <w:r w:rsidR="000B18E6">
        <w:rPr>
          <w:rFonts w:eastAsia="Calibri" w:cs="Calibri"/>
          <w:bCs/>
          <w:szCs w:val="22"/>
          <w:lang w:val="fr-BE"/>
        </w:rPr>
        <w:t>C</w:t>
      </w:r>
      <w:r w:rsidRPr="00404E71">
        <w:rPr>
          <w:rFonts w:eastAsia="Calibri" w:cs="Calibri"/>
          <w:bCs/>
          <w:szCs w:val="22"/>
          <w:lang w:val="fr-BE"/>
        </w:rPr>
        <w:t xml:space="preserve">oopération belge au </w:t>
      </w:r>
      <w:r w:rsidR="000B18E6">
        <w:rPr>
          <w:rFonts w:eastAsia="Calibri" w:cs="Calibri"/>
          <w:bCs/>
          <w:szCs w:val="22"/>
          <w:lang w:val="fr-BE"/>
        </w:rPr>
        <w:t>D</w:t>
      </w:r>
      <w:r w:rsidRPr="00404E71">
        <w:rPr>
          <w:rFonts w:eastAsia="Calibri" w:cs="Calibri"/>
          <w:bCs/>
          <w:szCs w:val="22"/>
          <w:lang w:val="fr-BE"/>
        </w:rPr>
        <w:t>éveloppement.</w:t>
      </w:r>
    </w:p>
    <w:p w14:paraId="36E795CF" w14:textId="400F4407" w:rsidR="00404E71" w:rsidRDefault="00404E71" w:rsidP="00404E71">
      <w:pPr>
        <w:spacing w:after="240" w:line="240" w:lineRule="auto"/>
        <w:jc w:val="both"/>
        <w:rPr>
          <w:rFonts w:eastAsia="Calibri" w:cs="Calibri"/>
          <w:bCs/>
          <w:szCs w:val="22"/>
          <w:lang w:val="fr-BE"/>
        </w:rPr>
      </w:pPr>
      <w:r w:rsidRPr="00404E71">
        <w:rPr>
          <w:rFonts w:eastAsia="Calibri" w:cs="Calibri"/>
          <w:bCs/>
          <w:szCs w:val="22"/>
          <w:lang w:val="fr-BE"/>
        </w:rPr>
        <w:t xml:space="preserve">En outre, 34,5 % de l'APD totale de la Belgique était destinée (en 2018) aux pays fragiles, un pourcentage supérieur à la moyenne du CAD de l'OCDE. Ce chiffre est encore plus élevé si l’on considère exclusivement les aides comptabilisables bilatérales. Dans ce cas, le pourcentage grimpe à 63 % (examen par les pairs de la coopération au développement, 2020). </w:t>
      </w:r>
    </w:p>
    <w:p w14:paraId="30FFCC3A" w14:textId="77777777" w:rsidR="00A9109A" w:rsidRDefault="00852C90">
      <w:pPr>
        <w:pStyle w:val="Vade-mecumtitre1"/>
        <w:numPr>
          <w:ilvl w:val="0"/>
          <w:numId w:val="0"/>
        </w:numPr>
        <w:ind w:left="432" w:hanging="432"/>
        <w:rPr>
          <w:lang w:val="fr-BE"/>
        </w:rPr>
      </w:pPr>
      <w:bookmarkStart w:id="577" w:name="_Toc117603253"/>
      <w:r w:rsidRPr="007C45BC">
        <w:rPr>
          <w:lang w:val="fr-BE"/>
        </w:rPr>
        <w:t>B</w:t>
      </w:r>
      <w:bookmarkEnd w:id="574"/>
      <w:bookmarkEnd w:id="575"/>
      <w:bookmarkEnd w:id="576"/>
      <w:r w:rsidR="00E80C97">
        <w:rPr>
          <w:lang w:val="fr-BE"/>
        </w:rPr>
        <w:t>4</w:t>
      </w:r>
      <w:r w:rsidR="00F65AB6" w:rsidRPr="007C45BC">
        <w:rPr>
          <w:lang w:val="fr-BE"/>
        </w:rPr>
        <w:t xml:space="preserve">. </w:t>
      </w:r>
      <w:r w:rsidR="007C45BC" w:rsidRPr="007C45BC">
        <w:rPr>
          <w:lang w:val="fr-BE"/>
        </w:rPr>
        <w:t xml:space="preserve">Objectif et résultats </w:t>
      </w:r>
      <w:r w:rsidR="00C24054">
        <w:rPr>
          <w:lang w:val="fr-BE"/>
        </w:rPr>
        <w:t>attendus</w:t>
      </w:r>
      <w:bookmarkStart w:id="578" w:name="_Toc437945802"/>
      <w:bookmarkStart w:id="579" w:name="_Toc437945862"/>
      <w:bookmarkStart w:id="580" w:name="_Toc437948676"/>
      <w:bookmarkStart w:id="581" w:name="_Toc437948708"/>
      <w:bookmarkStart w:id="582" w:name="_Toc437952301"/>
      <w:bookmarkStart w:id="583" w:name="_Toc437957574"/>
      <w:bookmarkStart w:id="584" w:name="_Toc437959646"/>
      <w:bookmarkStart w:id="585" w:name="_Toc438386590"/>
      <w:bookmarkStart w:id="586" w:name="_Toc438394647"/>
      <w:bookmarkStart w:id="587" w:name="_Toc438395343"/>
      <w:bookmarkStart w:id="588" w:name="_Toc438397513"/>
      <w:bookmarkStart w:id="589" w:name="_Toc438400711"/>
      <w:bookmarkStart w:id="590" w:name="_Toc438400729"/>
      <w:bookmarkStart w:id="591" w:name="_Toc438429739"/>
      <w:bookmarkStart w:id="592" w:name="_Toc438430424"/>
      <w:bookmarkStart w:id="593" w:name="_Toc438431759"/>
      <w:bookmarkStart w:id="594" w:name="_Toc438815241"/>
      <w:bookmarkStart w:id="595" w:name="_Toc438815260"/>
      <w:bookmarkStart w:id="596" w:name="_Toc439606726"/>
      <w:bookmarkStart w:id="597" w:name="_Toc439627807"/>
      <w:bookmarkStart w:id="598" w:name="_Toc439629805"/>
      <w:bookmarkStart w:id="599" w:name="_Toc439629893"/>
      <w:bookmarkStart w:id="600" w:name="_Toc439629912"/>
      <w:bookmarkStart w:id="601" w:name="_Toc439743352"/>
      <w:bookmarkStart w:id="602" w:name="_Toc439743765"/>
      <w:bookmarkStart w:id="603" w:name="_Toc439743860"/>
      <w:bookmarkStart w:id="604" w:name="_Toc439743882"/>
      <w:bookmarkStart w:id="605" w:name="_Toc439744213"/>
      <w:bookmarkStart w:id="606" w:name="_Toc439744232"/>
      <w:bookmarkStart w:id="607" w:name="_Toc439744289"/>
      <w:bookmarkStart w:id="608" w:name="_Toc439744318"/>
      <w:bookmarkStart w:id="609" w:name="_Toc439759160"/>
      <w:bookmarkStart w:id="610" w:name="_Toc439836242"/>
      <w:bookmarkStart w:id="611" w:name="_Toc439840976"/>
      <w:bookmarkStart w:id="612" w:name="_Toc439860427"/>
      <w:bookmarkStart w:id="613" w:name="_Toc440369447"/>
      <w:bookmarkStart w:id="614" w:name="_Toc440377003"/>
      <w:bookmarkStart w:id="615" w:name="_Toc440545368"/>
      <w:bookmarkStart w:id="616" w:name="_Toc440878188"/>
      <w:bookmarkStart w:id="617" w:name="_Toc440878328"/>
      <w:bookmarkStart w:id="618" w:name="_Toc440885654"/>
      <w:bookmarkStart w:id="619" w:name="_Toc440885796"/>
      <w:bookmarkStart w:id="620" w:name="_Toc440885825"/>
      <w:bookmarkStart w:id="621" w:name="_Toc444176959"/>
      <w:bookmarkStart w:id="622" w:name="_Toc444178160"/>
      <w:bookmarkStart w:id="623" w:name="_Toc444426433"/>
      <w:bookmarkStart w:id="624" w:name="_Toc444464018"/>
      <w:bookmarkStart w:id="625" w:name="_Toc444506370"/>
      <w:bookmarkStart w:id="626" w:name="_Toc444521677"/>
      <w:bookmarkStart w:id="627" w:name="_Toc444522167"/>
      <w:bookmarkStart w:id="628" w:name="_Toc444522193"/>
      <w:bookmarkStart w:id="629" w:name="_Toc444522716"/>
      <w:bookmarkStart w:id="630" w:name="_Toc444523114"/>
      <w:bookmarkStart w:id="631" w:name="_Toc444524377"/>
      <w:bookmarkStart w:id="632" w:name="_Toc444524446"/>
      <w:bookmarkStart w:id="633" w:name="_Toc447021686"/>
      <w:bookmarkStart w:id="634" w:name="_Toc447085716"/>
      <w:bookmarkStart w:id="635" w:name="_Toc447093132"/>
      <w:bookmarkStart w:id="636" w:name="_Toc447093796"/>
      <w:bookmarkStart w:id="637" w:name="_Toc449342360"/>
      <w:bookmarkStart w:id="638" w:name="_Toc449344036"/>
      <w:bookmarkStart w:id="639" w:name="_Toc449619287"/>
      <w:bookmarkStart w:id="640" w:name="_Toc449624057"/>
      <w:bookmarkStart w:id="641" w:name="_Toc449863339"/>
      <w:bookmarkStart w:id="642" w:name="_Toc449946661"/>
      <w:bookmarkStart w:id="643" w:name="_Toc450715739"/>
      <w:bookmarkStart w:id="644" w:name="_Toc450715819"/>
      <w:bookmarkStart w:id="645" w:name="_Toc113544485"/>
      <w:bookmarkStart w:id="646" w:name="_Toc114066791"/>
      <w:bookmarkStart w:id="647" w:name="_Toc116387788"/>
      <w:bookmarkStart w:id="648" w:name="_Toc450715822"/>
      <w:bookmarkStart w:id="649" w:name="_Toc29741223"/>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509ED899" w14:textId="6E6843D9" w:rsidR="00852C90" w:rsidRPr="00A9109A" w:rsidRDefault="004936E3" w:rsidP="00A53D39">
      <w:pPr>
        <w:pStyle w:val="Vade-mecumtitre2"/>
      </w:pPr>
      <w:bookmarkStart w:id="650" w:name="_Toc117603254"/>
      <w:r w:rsidRPr="00A9109A">
        <w:t>B</w:t>
      </w:r>
      <w:r w:rsidR="00494896" w:rsidRPr="00A9109A">
        <w:t>4</w:t>
      </w:r>
      <w:r w:rsidR="00852C90" w:rsidRPr="00A9109A">
        <w:t xml:space="preserve">.1 </w:t>
      </w:r>
      <w:bookmarkEnd w:id="645"/>
      <w:bookmarkEnd w:id="646"/>
      <w:bookmarkEnd w:id="647"/>
      <w:r w:rsidR="00494896" w:rsidRPr="00A9109A">
        <w:t>Objectif</w:t>
      </w:r>
      <w:bookmarkEnd w:id="650"/>
    </w:p>
    <w:p w14:paraId="49244B1E" w14:textId="77777777" w:rsidR="00EF63EB" w:rsidRPr="00EF63EB" w:rsidRDefault="00EF63EB" w:rsidP="00EF63EB">
      <w:pPr>
        <w:snapToGrid w:val="0"/>
        <w:spacing w:after="120" w:line="240" w:lineRule="auto"/>
        <w:jc w:val="both"/>
        <w:rPr>
          <w:bCs/>
          <w:lang w:val="fr-BE"/>
        </w:rPr>
      </w:pPr>
      <w:r w:rsidRPr="00EF63EB">
        <w:rPr>
          <w:b/>
          <w:lang w:val="fr-BE"/>
        </w:rPr>
        <w:t>Évaluation à des fins stratégiques et d’appui à la politique.</w:t>
      </w:r>
      <w:r w:rsidRPr="00EF63EB">
        <w:rPr>
          <w:bCs/>
          <w:lang w:val="fr-BE"/>
        </w:rPr>
        <w:t xml:space="preserve"> En recourant à des évaluations externes, le SES cherche à établir des constats indépendants et étayés. Ces résultats pourront être utilisés par les décideurs et l'administration pour affiner ou ajuster l'approche belge en matière de fragilité, d'une part, et pour en faire la promotion et l'appliquer aux niveaux bilatéral (coopération gouvernementale et non gouvernementale) et multilatéral, d'autre part. L'évaluation vise à formuler des recommandations concrètes et applicables qui peuvent contribuer, tant au niveau stratégique qu'opérationnel, à optimiser l'approche de la Belgique en matière de fragilité.</w:t>
      </w:r>
    </w:p>
    <w:p w14:paraId="71D6B777" w14:textId="3C041517" w:rsidR="00A9109A" w:rsidRDefault="00EF63EB" w:rsidP="00A9109A">
      <w:pPr>
        <w:snapToGrid w:val="0"/>
        <w:spacing w:after="120" w:line="240" w:lineRule="auto"/>
        <w:jc w:val="both"/>
        <w:rPr>
          <w:bCs/>
          <w:lang w:val="fr-BE"/>
        </w:rPr>
      </w:pPr>
      <w:r w:rsidRPr="00EF63EB">
        <w:rPr>
          <w:b/>
          <w:lang w:val="fr-BE"/>
        </w:rPr>
        <w:t>Évaluation principalement formative.</w:t>
      </w:r>
      <w:r w:rsidRPr="00EF63EB">
        <w:rPr>
          <w:bCs/>
          <w:lang w:val="fr-BE"/>
        </w:rPr>
        <w:t xml:space="preserve"> L'objectif principal est de tirer des enseignements de la mise en œuvre de l'approche belge en matière de fragilité. Cela vaut pour l'ensemble des critères utilisés pour cette évaluation, en ce compris le critère </w:t>
      </w:r>
      <w:r w:rsidR="00A9335F">
        <w:rPr>
          <w:bCs/>
          <w:lang w:val="fr-BE"/>
        </w:rPr>
        <w:t>‘</w:t>
      </w:r>
      <w:r w:rsidRPr="00EF63EB">
        <w:rPr>
          <w:bCs/>
          <w:lang w:val="fr-BE"/>
        </w:rPr>
        <w:t>efficacité</w:t>
      </w:r>
      <w:r w:rsidR="00A9335F">
        <w:rPr>
          <w:bCs/>
          <w:lang w:val="fr-BE"/>
        </w:rPr>
        <w:t>’</w:t>
      </w:r>
      <w:r w:rsidRPr="00EF63EB">
        <w:rPr>
          <w:bCs/>
          <w:lang w:val="fr-BE"/>
        </w:rPr>
        <w:t xml:space="preserve"> qui est principalement associé à l'évaluation sommative. La question de savoir dans quelle mesure les résultats obtenus dans des contextes fragiles peuvent être liés à la mise en œuvre des principes de politique et instruments de l'approche belge en matière de fragilité revêt plus d’importance que l'analyse de l'efficacité du point de vue de la reddition de comptes.</w:t>
      </w:r>
      <w:bookmarkStart w:id="651" w:name="_Toc35550151"/>
    </w:p>
    <w:p w14:paraId="5F35F66C" w14:textId="0583B6EA" w:rsidR="00A9109A" w:rsidRDefault="00A9109A" w:rsidP="00A9109A">
      <w:pPr>
        <w:snapToGrid w:val="0"/>
        <w:spacing w:after="120" w:line="240" w:lineRule="auto"/>
        <w:jc w:val="both"/>
        <w:rPr>
          <w:bCs/>
          <w:lang w:val="fr-BE"/>
        </w:rPr>
      </w:pPr>
    </w:p>
    <w:p w14:paraId="290CF059" w14:textId="59469326" w:rsidR="00A9109A" w:rsidRPr="00A9109A" w:rsidRDefault="00A9109A" w:rsidP="00A9109A">
      <w:pPr>
        <w:pStyle w:val="Vade-mecumtitre2"/>
      </w:pPr>
      <w:bookmarkStart w:id="652" w:name="_Toc117603255"/>
      <w:r>
        <w:t>B4.2 Résultats attendus</w:t>
      </w:r>
      <w:bookmarkEnd w:id="652"/>
      <w:r>
        <w:t xml:space="preserve"> </w:t>
      </w:r>
    </w:p>
    <w:p w14:paraId="1B93B3FB" w14:textId="1E2CC962" w:rsidR="00475918" w:rsidRPr="00A9109A" w:rsidRDefault="00475918" w:rsidP="00A9109A">
      <w:pPr>
        <w:numPr>
          <w:ilvl w:val="0"/>
          <w:numId w:val="19"/>
        </w:numPr>
        <w:snapToGrid w:val="0"/>
        <w:spacing w:after="120" w:line="240" w:lineRule="auto"/>
        <w:jc w:val="both"/>
        <w:rPr>
          <w:lang w:val="fr-BE"/>
        </w:rPr>
      </w:pPr>
      <w:r w:rsidRPr="00A9109A">
        <w:rPr>
          <w:lang w:val="fr-BE"/>
        </w:rPr>
        <w:t>L’évaluation fournira les résultats suivants :</w:t>
      </w:r>
    </w:p>
    <w:p w14:paraId="0C6C57D0" w14:textId="1C72F261" w:rsidR="00475918" w:rsidRPr="0091734D" w:rsidRDefault="00475918" w:rsidP="00475918">
      <w:pPr>
        <w:numPr>
          <w:ilvl w:val="0"/>
          <w:numId w:val="19"/>
        </w:numPr>
        <w:snapToGrid w:val="0"/>
        <w:spacing w:after="120" w:line="240" w:lineRule="auto"/>
        <w:jc w:val="both"/>
        <w:rPr>
          <w:bCs/>
          <w:lang w:val="fr-BE"/>
        </w:rPr>
      </w:pPr>
      <w:r w:rsidRPr="00EA2731">
        <w:rPr>
          <w:b/>
          <w:lang w:val="fr-BE"/>
        </w:rPr>
        <w:t>R1.</w:t>
      </w:r>
      <w:r w:rsidRPr="0091734D">
        <w:rPr>
          <w:bCs/>
          <w:lang w:val="fr-BE"/>
        </w:rPr>
        <w:t xml:space="preserve"> Cartographie de la </w:t>
      </w:r>
      <w:r w:rsidR="00DB483D">
        <w:rPr>
          <w:bCs/>
          <w:lang w:val="fr-BE"/>
        </w:rPr>
        <w:t>C</w:t>
      </w:r>
      <w:r w:rsidRPr="0091734D">
        <w:rPr>
          <w:bCs/>
          <w:lang w:val="fr-BE"/>
        </w:rPr>
        <w:t xml:space="preserve">oopération belge au </w:t>
      </w:r>
      <w:r w:rsidR="00DB483D">
        <w:rPr>
          <w:bCs/>
          <w:lang w:val="fr-BE"/>
        </w:rPr>
        <w:t>D</w:t>
      </w:r>
      <w:r w:rsidRPr="0091734D">
        <w:rPr>
          <w:bCs/>
          <w:lang w:val="fr-BE"/>
        </w:rPr>
        <w:t>éveloppement dans des contextes fragiles, y compris une étude comparative internationale</w:t>
      </w:r>
    </w:p>
    <w:p w14:paraId="33717FCF" w14:textId="77777777" w:rsidR="00475918" w:rsidRPr="0091734D" w:rsidRDefault="00475918" w:rsidP="00475918">
      <w:pPr>
        <w:numPr>
          <w:ilvl w:val="0"/>
          <w:numId w:val="19"/>
        </w:numPr>
        <w:snapToGrid w:val="0"/>
        <w:spacing w:after="120" w:line="240" w:lineRule="auto"/>
        <w:jc w:val="both"/>
        <w:rPr>
          <w:bCs/>
          <w:lang w:val="fr-BE"/>
        </w:rPr>
      </w:pPr>
      <w:r w:rsidRPr="00EA2731">
        <w:rPr>
          <w:b/>
          <w:lang w:val="fr-BE"/>
        </w:rPr>
        <w:t>R2.</w:t>
      </w:r>
      <w:r w:rsidRPr="0091734D">
        <w:rPr>
          <w:bCs/>
          <w:lang w:val="fr-BE"/>
        </w:rPr>
        <w:t xml:space="preserve"> Constats et conclusions concernant la mise en œuvre cohérente de l'approche belge en matière de fragilité, tant à l'échelle nationale (au sein et en dehors du SPF Affaires étrangères) qu’internationale (points de référence en matière de fragilité, dont le New Deal pour l’engagement dans les États fragiles et le Réseau international sur les conflits et la fragilité)</w:t>
      </w:r>
    </w:p>
    <w:p w14:paraId="2440F959" w14:textId="77777777" w:rsidR="00475918" w:rsidRPr="0091734D" w:rsidRDefault="00475918" w:rsidP="00475918">
      <w:pPr>
        <w:numPr>
          <w:ilvl w:val="0"/>
          <w:numId w:val="19"/>
        </w:numPr>
        <w:snapToGrid w:val="0"/>
        <w:spacing w:after="120" w:line="240" w:lineRule="auto"/>
        <w:jc w:val="both"/>
        <w:rPr>
          <w:bCs/>
          <w:lang w:val="fr-BE"/>
        </w:rPr>
      </w:pPr>
      <w:r w:rsidRPr="00EA2731">
        <w:rPr>
          <w:b/>
          <w:lang w:val="fr-BE"/>
        </w:rPr>
        <w:t>R3.</w:t>
      </w:r>
      <w:r w:rsidRPr="0091734D">
        <w:rPr>
          <w:bCs/>
          <w:lang w:val="fr-BE"/>
        </w:rPr>
        <w:t xml:space="preserve"> Constats et conclusions concernant les instruments, la mise en œuvre de l'approche belge en matière de fragilité et les résultats des interventions dans des pays fragiles</w:t>
      </w:r>
    </w:p>
    <w:p w14:paraId="6BAA9A4E" w14:textId="69B73209" w:rsidR="00475918" w:rsidRPr="0091734D" w:rsidRDefault="00475918" w:rsidP="00475918">
      <w:pPr>
        <w:numPr>
          <w:ilvl w:val="0"/>
          <w:numId w:val="19"/>
        </w:numPr>
        <w:snapToGrid w:val="0"/>
        <w:spacing w:after="120" w:line="240" w:lineRule="auto"/>
        <w:jc w:val="both"/>
        <w:rPr>
          <w:bCs/>
          <w:lang w:val="fr-BE"/>
        </w:rPr>
      </w:pPr>
      <w:r w:rsidRPr="00EA2731">
        <w:rPr>
          <w:b/>
          <w:lang w:val="fr-BE"/>
        </w:rPr>
        <w:t>R4.</w:t>
      </w:r>
      <w:r w:rsidR="00EA2731">
        <w:rPr>
          <w:bCs/>
          <w:lang w:val="fr-BE"/>
        </w:rPr>
        <w:t xml:space="preserve"> </w:t>
      </w:r>
      <w:r w:rsidRPr="0091734D">
        <w:rPr>
          <w:bCs/>
          <w:lang w:val="fr-BE"/>
        </w:rPr>
        <w:t>Recommandations destinées aux décideurs, à l'administration et aux acteurs du développement concernés</w:t>
      </w:r>
    </w:p>
    <w:p w14:paraId="7DB3C516" w14:textId="77444009" w:rsidR="00852C90" w:rsidRPr="00852C90" w:rsidRDefault="00852C90" w:rsidP="00852C90">
      <w:pPr>
        <w:pStyle w:val="Vade-mecumtitre1"/>
        <w:numPr>
          <w:ilvl w:val="0"/>
          <w:numId w:val="0"/>
        </w:numPr>
      </w:pPr>
      <w:bookmarkStart w:id="653" w:name="_Toc117603256"/>
      <w:r w:rsidRPr="00852C90">
        <w:t>B</w:t>
      </w:r>
      <w:r w:rsidR="008956D6">
        <w:t>5</w:t>
      </w:r>
      <w:r w:rsidRPr="00852C90">
        <w:t xml:space="preserve">. </w:t>
      </w:r>
      <w:bookmarkEnd w:id="648"/>
      <w:bookmarkEnd w:id="649"/>
      <w:bookmarkEnd w:id="651"/>
      <w:r w:rsidR="00213BEC" w:rsidRPr="00213BEC">
        <w:t>Champ et échantillon</w:t>
      </w:r>
      <w:bookmarkEnd w:id="653"/>
    </w:p>
    <w:p w14:paraId="749CE954" w14:textId="1042ABAC" w:rsidR="00852C90" w:rsidRPr="004936E3" w:rsidRDefault="00852C90" w:rsidP="00016986">
      <w:pPr>
        <w:pStyle w:val="Vade-mecumtitre2"/>
      </w:pPr>
      <w:bookmarkStart w:id="654" w:name="_Toc450715823"/>
      <w:bookmarkStart w:id="655" w:name="_Toc29741224"/>
      <w:bookmarkStart w:id="656" w:name="_Toc113544488"/>
      <w:bookmarkStart w:id="657" w:name="_Toc114066794"/>
      <w:bookmarkStart w:id="658" w:name="_Toc116387791"/>
      <w:bookmarkStart w:id="659" w:name="_Toc117603257"/>
      <w:r w:rsidRPr="004936E3">
        <w:t>B</w:t>
      </w:r>
      <w:r w:rsidR="008956D6">
        <w:t>5</w:t>
      </w:r>
      <w:r w:rsidR="004936E3">
        <w:t>.1</w:t>
      </w:r>
      <w:bookmarkEnd w:id="654"/>
      <w:bookmarkEnd w:id="655"/>
      <w:bookmarkEnd w:id="656"/>
      <w:bookmarkEnd w:id="657"/>
      <w:bookmarkEnd w:id="658"/>
      <w:r w:rsidR="00016986">
        <w:t xml:space="preserve"> </w:t>
      </w:r>
      <w:r w:rsidR="00016986" w:rsidRPr="00016986">
        <w:rPr>
          <w:lang w:val="nl-NL"/>
        </w:rPr>
        <w:t>Champ de l'évaluation</w:t>
      </w:r>
      <w:bookmarkEnd w:id="659"/>
    </w:p>
    <w:p w14:paraId="4A9D1F8B" w14:textId="669ABF22" w:rsidR="00D83381" w:rsidRPr="00D83381" w:rsidRDefault="00D83381" w:rsidP="00D83381">
      <w:pPr>
        <w:snapToGrid w:val="0"/>
        <w:spacing w:after="120" w:line="240" w:lineRule="auto"/>
        <w:jc w:val="both"/>
        <w:rPr>
          <w:bCs/>
          <w:lang w:val="fr-BE"/>
        </w:rPr>
      </w:pPr>
      <w:bookmarkStart w:id="660" w:name="_Toc450715825"/>
      <w:bookmarkStart w:id="661" w:name="_Toc29741225"/>
      <w:r w:rsidRPr="00D83381">
        <w:rPr>
          <w:b/>
          <w:lang w:val="fr-BE"/>
        </w:rPr>
        <w:t>Politique.</w:t>
      </w:r>
      <w:r w:rsidRPr="00D83381">
        <w:rPr>
          <w:bCs/>
          <w:lang w:val="fr-BE"/>
        </w:rPr>
        <w:t xml:space="preserve"> L'évaluation se concentrera sur les principes politiques et instruments de l’approche belge en matière de fragilité et en particulier sur la mise en œuvre de cette dernière dans les pays partenaires fragiles de la coopération gouvernementale. Cette approche est étroitement liée à d'autres dimensions de la politique extérieure de la Belgique, dont l'approche globale, le nexus « aide humanitaire-développement-paix », un multilatéralisme efficace et la migration. Ces dimensions ne feront partie du champ de l’évaluation que dans la mesure où elles s’avèrent exercer une influence substantielle dans la mise en œuvre de l'approche belge en matière de fragilité dans les pays partenaires. Cette observation vaut en particulier pour l'aide humanitaire, qui a récemment fait l'objet d'une autre évaluation. </w:t>
      </w:r>
    </w:p>
    <w:p w14:paraId="08D004F8" w14:textId="1252F701" w:rsidR="00D83381" w:rsidRPr="00D83381" w:rsidRDefault="00D83381" w:rsidP="00D83381">
      <w:pPr>
        <w:snapToGrid w:val="0"/>
        <w:spacing w:after="120" w:line="240" w:lineRule="auto"/>
        <w:jc w:val="both"/>
        <w:rPr>
          <w:bCs/>
          <w:lang w:val="fr-BE"/>
        </w:rPr>
      </w:pPr>
      <w:r w:rsidRPr="00D83381">
        <w:rPr>
          <w:b/>
          <w:lang w:val="fr-BE"/>
        </w:rPr>
        <w:t>Niveaux et canaux.</w:t>
      </w:r>
      <w:r w:rsidRPr="00D83381">
        <w:rPr>
          <w:bCs/>
          <w:lang w:val="fr-BE"/>
        </w:rPr>
        <w:t xml:space="preserve"> Il ressort du paragraphe précédent que la mise en œuvre de l'approche belge en matière de fragilité sera non seulement examinée au niveau de l'administration centrale et des postes diplomatiques situés dans des pays partenaires fragiles, mais également des postes multilatéraux considérés comme pertinents. En ce qui concerne les canaux, le choix de se concentrer sur les pays partenaires de la coopération gouvernementale n'implique pas que seule l'aide gouvernementale par le biais de l'agence belge de développement Enabel sera examinée. Les contextes fragiles sont complexes et multidimensionnels et exigent une approche globale et cohérente des différents canaux et acteurs. Les analyses couvriront tant la coopération gouvernementale et non gouvernementale que la coopération par le biais de la Société belge d'Investissement pour les Pays en Développement (BIO)</w:t>
      </w:r>
      <w:r w:rsidR="00C97818">
        <w:rPr>
          <w:bCs/>
          <w:lang w:val="fr-BE"/>
        </w:rPr>
        <w:t xml:space="preserve"> et </w:t>
      </w:r>
      <w:r w:rsidR="001D5CDD">
        <w:rPr>
          <w:bCs/>
          <w:lang w:val="fr-BE"/>
        </w:rPr>
        <w:t>la coopération multilatérale</w:t>
      </w:r>
      <w:r w:rsidRPr="00D83381">
        <w:rPr>
          <w:bCs/>
          <w:lang w:val="fr-BE"/>
        </w:rPr>
        <w:t xml:space="preserve">. Les interventions financées par l'intermédiaire des services du SPF Affaires étrangères, Commerce extérieur et Coopération au Développement « Développement transitionnel et Gouvernance D5.2 », « Consolidation de la paix S0.1 »,« Aide humanitaire D5.1» ainsi que « Consolidation de la société et Développement social D2.5 » seront également examinées. </w:t>
      </w:r>
    </w:p>
    <w:p w14:paraId="42B043F6" w14:textId="7A4BB1E0" w:rsidR="00852C90" w:rsidRPr="00D83381" w:rsidRDefault="00D83381" w:rsidP="00D83381">
      <w:pPr>
        <w:snapToGrid w:val="0"/>
        <w:spacing w:after="120" w:line="240" w:lineRule="auto"/>
        <w:jc w:val="both"/>
        <w:rPr>
          <w:bCs/>
          <w:lang w:val="fr-BE"/>
        </w:rPr>
      </w:pPr>
      <w:r w:rsidRPr="00D83381">
        <w:rPr>
          <w:b/>
          <w:lang w:val="fr-BE"/>
        </w:rPr>
        <w:t>Période.</w:t>
      </w:r>
      <w:r w:rsidRPr="00D83381">
        <w:rPr>
          <w:bCs/>
          <w:lang w:val="fr-BE"/>
        </w:rPr>
        <w:t xml:space="preserve"> L'évaluation portera sur les dynamiques et interventions liées à la fragilité qui ont eu lieu au cours de la période 2015-2022. La période choisie permet d'évaluer avec suffisamment de recul la mise en œuvre de l'approche belge en matière de fragilité. À partir de 2015, la recherche en appui à la politique relative à la fragilité, mentionnée supra, a pris une forme concrète. Des moments de réflexion et des activités pilotes ont ainsi été organisés avec divers acteurs de la </w:t>
      </w:r>
      <w:r w:rsidR="0084603E">
        <w:rPr>
          <w:bCs/>
          <w:lang w:val="fr-BE"/>
        </w:rPr>
        <w:t>C</w:t>
      </w:r>
      <w:r w:rsidRPr="00D83381">
        <w:rPr>
          <w:bCs/>
          <w:lang w:val="fr-BE"/>
        </w:rPr>
        <w:t xml:space="preserve">oopération belge au </w:t>
      </w:r>
      <w:r w:rsidR="0084603E">
        <w:rPr>
          <w:bCs/>
          <w:lang w:val="fr-BE"/>
        </w:rPr>
        <w:t>D</w:t>
      </w:r>
      <w:r w:rsidRPr="00D83381">
        <w:rPr>
          <w:bCs/>
          <w:lang w:val="fr-BE"/>
        </w:rPr>
        <w:t xml:space="preserve">éveloppement, tant à Bruxelles que sur le terrain. L’année 2015 a également été marquée par la décision de réduire le nombre de pays partenaires pour cibler davantage les pays partenaires fragiles. Par ailleurs, la période choisie permet d'examiner dans quelle mesure la Coopération belge au </w:t>
      </w:r>
      <w:r w:rsidR="007C634C">
        <w:rPr>
          <w:bCs/>
          <w:lang w:val="fr-BE"/>
        </w:rPr>
        <w:t>D</w:t>
      </w:r>
      <w:r w:rsidRPr="00D83381">
        <w:rPr>
          <w:bCs/>
          <w:lang w:val="fr-BE"/>
        </w:rPr>
        <w:t>éveloppement s'est adaptée aux défis posés par la pandémie de coronavirus dans les contextes fragiles ou encore aux conséquences (par exemple la sécurité alimentaire) de la guerre en Ukraine.</w:t>
      </w:r>
    </w:p>
    <w:p w14:paraId="7F2C055C" w14:textId="7E261DBB" w:rsidR="00852C90" w:rsidRPr="00852C90" w:rsidRDefault="00852C90" w:rsidP="00615A7B">
      <w:pPr>
        <w:pStyle w:val="Vade-mecumtitre2"/>
      </w:pPr>
      <w:bookmarkStart w:id="662" w:name="_Toc113544489"/>
      <w:bookmarkStart w:id="663" w:name="_Toc114066795"/>
      <w:bookmarkStart w:id="664" w:name="_Toc116387792"/>
      <w:bookmarkStart w:id="665" w:name="_Toc117603258"/>
      <w:r w:rsidRPr="00852C90">
        <w:t>B</w:t>
      </w:r>
      <w:r w:rsidR="008956D6">
        <w:t>5</w:t>
      </w:r>
      <w:r w:rsidRPr="00852C90">
        <w:t xml:space="preserve">.2 </w:t>
      </w:r>
      <w:bookmarkEnd w:id="662"/>
      <w:bookmarkEnd w:id="663"/>
      <w:bookmarkEnd w:id="664"/>
      <w:r w:rsidR="00615A7B" w:rsidRPr="00615A7B">
        <w:t>Échantillon des pays partenaires</w:t>
      </w:r>
      <w:bookmarkEnd w:id="665"/>
    </w:p>
    <w:p w14:paraId="58681975" w14:textId="4F8DC1DA" w:rsidR="003F1902" w:rsidRPr="003F1902" w:rsidRDefault="003F1902" w:rsidP="003F1902">
      <w:pPr>
        <w:snapToGrid w:val="0"/>
        <w:spacing w:after="120" w:line="240" w:lineRule="auto"/>
        <w:jc w:val="both"/>
        <w:rPr>
          <w:bCs/>
          <w:lang w:val="fr-BE"/>
        </w:rPr>
      </w:pPr>
      <w:bookmarkStart w:id="666" w:name="_Toc35550152"/>
      <w:r w:rsidRPr="003F1902">
        <w:rPr>
          <w:bCs/>
          <w:lang w:val="fr-BE"/>
        </w:rPr>
        <w:t xml:space="preserve">Les pays partenaires (fragiles) ne seront pas soumis au même degré </w:t>
      </w:r>
      <w:r w:rsidR="00217D17">
        <w:rPr>
          <w:bCs/>
          <w:lang w:val="fr-BE"/>
        </w:rPr>
        <w:t>d’a</w:t>
      </w:r>
      <w:r w:rsidR="0083292A">
        <w:rPr>
          <w:bCs/>
          <w:lang w:val="fr-BE"/>
        </w:rPr>
        <w:t>pprofondissement de l’analyse</w:t>
      </w:r>
      <w:r w:rsidRPr="003F1902">
        <w:rPr>
          <w:bCs/>
          <w:lang w:val="fr-BE"/>
        </w:rPr>
        <w:t xml:space="preserve">. Dans une optique large, tous les pays partenaires fragiles et non fragiles seront examinés au cours de la période 2015-2022. Dans une optique ciblée, trois pays partenaires fragiles feront l’objet d’une attention prioritaire lors des missions sur le terrain.  </w:t>
      </w:r>
    </w:p>
    <w:p w14:paraId="2CA590F8" w14:textId="77777777" w:rsidR="003F1902" w:rsidRPr="003F1902" w:rsidRDefault="003F1902" w:rsidP="003F1902">
      <w:pPr>
        <w:snapToGrid w:val="0"/>
        <w:spacing w:after="120" w:line="240" w:lineRule="auto"/>
        <w:jc w:val="both"/>
        <w:rPr>
          <w:bCs/>
          <w:lang w:val="fr-BE"/>
        </w:rPr>
      </w:pPr>
      <w:r w:rsidRPr="003F1902">
        <w:rPr>
          <w:bCs/>
          <w:lang w:val="fr-BE"/>
        </w:rPr>
        <w:t>Pour la cartographie et l'analyse plus générale, les onze pays partenaires de la coopération gouvernementale seront tous pris en compte dans une démarche globale. Une analyse générale de l'APD aux pays partenaires non fragiles sera également effectuée à titre de comparaison.</w:t>
      </w:r>
    </w:p>
    <w:p w14:paraId="66B75069" w14:textId="77777777" w:rsidR="003F1902" w:rsidRPr="00366180" w:rsidRDefault="003F1902" w:rsidP="003F1902">
      <w:pPr>
        <w:snapToGrid w:val="0"/>
        <w:spacing w:after="120" w:line="240" w:lineRule="auto"/>
        <w:jc w:val="both"/>
        <w:rPr>
          <w:bCs/>
          <w:lang w:val="fr-BE"/>
        </w:rPr>
      </w:pPr>
      <w:r w:rsidRPr="003F1902">
        <w:rPr>
          <w:bCs/>
          <w:lang w:val="fr-BE"/>
        </w:rPr>
        <w:t xml:space="preserve">En ce qui concerne l'analyse approfondie, l'évaluation se concentrera sur six pays partenaires de la coopération au développement gouvernementale, dans trois régions différentes. Pour chacune des régions, un pays fera l'objet d'une visite sur le terrain et un autre d'une analyse approfondie sans visite sur le terrain. Pour la région du Sahel, il s'agit du Niger (terrain) et du Mali (desk) ; pour l'Afrique centrale, de la RD Congo (terrain) et du Burundi (desk) ; et pour l'Afrique de l'Ouest, de la Guinée (terrain) et du Burkina Faso (desk). </w:t>
      </w:r>
      <w:r w:rsidRPr="00366180">
        <w:rPr>
          <w:bCs/>
          <w:lang w:val="fr-BE"/>
        </w:rPr>
        <w:t xml:space="preserve">Ces deux derniers pays sont de nouveaux pays partenaires depuis 2015. Sur les six pays précités, la RD Congo et le Burundi sont qualifiés d’extrêmement fragiles dans le dernier rapport États de fragilité (OCDE, 2022). </w:t>
      </w:r>
    </w:p>
    <w:p w14:paraId="56D6A82F" w14:textId="2194AF94" w:rsidR="00852C90" w:rsidRPr="00366180" w:rsidRDefault="003F1902" w:rsidP="003F1902">
      <w:pPr>
        <w:snapToGrid w:val="0"/>
        <w:spacing w:after="120" w:line="240" w:lineRule="auto"/>
        <w:jc w:val="both"/>
        <w:rPr>
          <w:bCs/>
          <w:lang w:val="fr-BE"/>
        </w:rPr>
      </w:pPr>
      <w:r w:rsidRPr="00366180">
        <w:rPr>
          <w:bCs/>
          <w:lang w:val="fr-BE"/>
        </w:rPr>
        <w:t>Pour chacune des six études de pays, six interventions (environ) devront être évaluées en profondeur. Les interventions concernées seront sélectionnées durant la phase de cartographie sur la base d'une proposition argumentée des évaluateurs.</w:t>
      </w:r>
    </w:p>
    <w:p w14:paraId="03FF0665" w14:textId="6B0038A4" w:rsidR="00852C90" w:rsidRPr="00366180" w:rsidRDefault="00852C90" w:rsidP="00852C90">
      <w:pPr>
        <w:pStyle w:val="Vade-mecumtitre1"/>
        <w:numPr>
          <w:ilvl w:val="0"/>
          <w:numId w:val="0"/>
        </w:numPr>
        <w:ind w:left="432" w:hanging="432"/>
        <w:rPr>
          <w:lang w:val="fr-BE"/>
        </w:rPr>
      </w:pPr>
      <w:bookmarkStart w:id="667" w:name="_Toc117603259"/>
      <w:r w:rsidRPr="00366180">
        <w:rPr>
          <w:lang w:val="fr-BE"/>
        </w:rPr>
        <w:t>B</w:t>
      </w:r>
      <w:r w:rsidR="00F30F74">
        <w:rPr>
          <w:lang w:val="fr-BE"/>
        </w:rPr>
        <w:t>6</w:t>
      </w:r>
      <w:r w:rsidRPr="00366180">
        <w:rPr>
          <w:lang w:val="fr-BE"/>
        </w:rPr>
        <w:t xml:space="preserve">. </w:t>
      </w:r>
      <w:bookmarkEnd w:id="660"/>
      <w:bookmarkEnd w:id="661"/>
      <w:bookmarkEnd w:id="666"/>
      <w:r w:rsidR="00366180" w:rsidRPr="00366180">
        <w:rPr>
          <w:lang w:val="fr-BE"/>
        </w:rPr>
        <w:t>Questions d’évaluation</w:t>
      </w:r>
      <w:bookmarkEnd w:id="667"/>
    </w:p>
    <w:p w14:paraId="69A4F2B5" w14:textId="3A47D521" w:rsidR="00852C90" w:rsidRPr="00F30F74" w:rsidRDefault="00F30F74" w:rsidP="00852C90">
      <w:pPr>
        <w:snapToGrid w:val="0"/>
        <w:spacing w:after="120" w:line="240" w:lineRule="auto"/>
        <w:jc w:val="both"/>
        <w:rPr>
          <w:lang w:val="fr-BE"/>
        </w:rPr>
      </w:pPr>
      <w:r w:rsidRPr="00F30F74">
        <w:rPr>
          <w:lang w:val="fr-BE"/>
        </w:rPr>
        <w:t>L'évaluation offrira une réponse globale aux questions d'évaluation centrales ci-dessous. Les questions d'évaluation spécifiques pourront être ajustées ou complétées lors de la phase de cadrage et de cartographie, sur la base d'une proposition argumentée des évaluateurs.</w:t>
      </w:r>
    </w:p>
    <w:p w14:paraId="77FFF56C" w14:textId="4ACD2760" w:rsidR="00852C90" w:rsidRPr="00852C90" w:rsidRDefault="00852C90" w:rsidP="0090635B">
      <w:pPr>
        <w:pStyle w:val="Vade-mecumtitre2"/>
      </w:pPr>
      <w:bookmarkStart w:id="668" w:name="_Toc113544491"/>
      <w:bookmarkStart w:id="669" w:name="_Toc114066797"/>
      <w:bookmarkStart w:id="670" w:name="_Toc116387794"/>
      <w:bookmarkStart w:id="671" w:name="_Toc117603260"/>
      <w:bookmarkStart w:id="672" w:name="_Toc450715826"/>
      <w:bookmarkStart w:id="673" w:name="_Toc29741226"/>
      <w:r w:rsidRPr="00852C90">
        <w:t>B</w:t>
      </w:r>
      <w:r w:rsidR="00F30F74">
        <w:t>6</w:t>
      </w:r>
      <w:r w:rsidRPr="00852C90">
        <w:t xml:space="preserve">.1 </w:t>
      </w:r>
      <w:bookmarkEnd w:id="668"/>
      <w:bookmarkEnd w:id="669"/>
      <w:bookmarkEnd w:id="670"/>
      <w:r w:rsidR="0090635B" w:rsidRPr="0090635B">
        <w:t>Questions d'évaluation centrales</w:t>
      </w:r>
      <w:bookmarkEnd w:id="671"/>
    </w:p>
    <w:p w14:paraId="54AA37CC" w14:textId="4742EA6F" w:rsidR="00A73F9A" w:rsidRPr="00A73F9A" w:rsidRDefault="00A73F9A" w:rsidP="00A73F9A">
      <w:pPr>
        <w:snapToGrid w:val="0"/>
        <w:spacing w:after="120" w:line="240" w:lineRule="auto"/>
        <w:jc w:val="both"/>
        <w:rPr>
          <w:b/>
          <w:lang w:val="fr-BE"/>
        </w:rPr>
      </w:pPr>
      <w:r w:rsidRPr="00A73F9A">
        <w:rPr>
          <w:b/>
          <w:lang w:val="fr-BE"/>
        </w:rPr>
        <w:t xml:space="preserve">QE 1. </w:t>
      </w:r>
      <w:r w:rsidRPr="00F25FC9">
        <w:rPr>
          <w:bCs/>
          <w:lang w:val="fr-BE"/>
        </w:rPr>
        <w:t xml:space="preserve">Le cadre politique et les instruments de la </w:t>
      </w:r>
      <w:r w:rsidR="001B315B">
        <w:rPr>
          <w:bCs/>
          <w:lang w:val="fr-BE"/>
        </w:rPr>
        <w:t>C</w:t>
      </w:r>
      <w:r w:rsidRPr="00F25FC9">
        <w:rPr>
          <w:bCs/>
          <w:lang w:val="fr-BE"/>
        </w:rPr>
        <w:t xml:space="preserve">oopération belge au </w:t>
      </w:r>
      <w:r w:rsidR="001B315B">
        <w:rPr>
          <w:bCs/>
          <w:lang w:val="fr-BE"/>
        </w:rPr>
        <w:t>D</w:t>
      </w:r>
      <w:r w:rsidRPr="00F25FC9">
        <w:rPr>
          <w:bCs/>
          <w:lang w:val="fr-BE"/>
        </w:rPr>
        <w:t>éveloppement sont-ils adaptés aux contextes fragiles ? Comment les principes internationaux et les orientations stratégiques (e.a. notes stratégiques Situations de fragilité et Approche globale, nexus) se traduisent-ils en une approche cohérente en matière de fragilité dans le contexte de fragilité spécifique des pays partenaires ?</w:t>
      </w:r>
      <w:r w:rsidRPr="00A73F9A">
        <w:rPr>
          <w:b/>
          <w:lang w:val="fr-BE"/>
        </w:rPr>
        <w:t xml:space="preserve"> </w:t>
      </w:r>
    </w:p>
    <w:p w14:paraId="1D54D910" w14:textId="7D282305" w:rsidR="00A73F9A" w:rsidRPr="00A73F9A" w:rsidRDefault="00A73F9A" w:rsidP="00A73F9A">
      <w:pPr>
        <w:snapToGrid w:val="0"/>
        <w:spacing w:after="120" w:line="240" w:lineRule="auto"/>
        <w:jc w:val="both"/>
        <w:rPr>
          <w:b/>
          <w:lang w:val="fr-BE"/>
        </w:rPr>
      </w:pPr>
      <w:r w:rsidRPr="00A73F9A">
        <w:rPr>
          <w:b/>
          <w:lang w:val="fr-BE"/>
        </w:rPr>
        <w:t xml:space="preserve">QE 2. </w:t>
      </w:r>
      <w:r w:rsidRPr="00F25FC9">
        <w:rPr>
          <w:bCs/>
          <w:lang w:val="fr-BE"/>
        </w:rPr>
        <w:t xml:space="preserve">Quels résultats la </w:t>
      </w:r>
      <w:r w:rsidR="001B315B">
        <w:rPr>
          <w:bCs/>
          <w:lang w:val="fr-BE"/>
        </w:rPr>
        <w:t>C</w:t>
      </w:r>
      <w:r w:rsidRPr="00F25FC9">
        <w:rPr>
          <w:bCs/>
          <w:lang w:val="fr-BE"/>
        </w:rPr>
        <w:t xml:space="preserve">oopération belge au </w:t>
      </w:r>
      <w:r w:rsidR="001B315B">
        <w:rPr>
          <w:bCs/>
          <w:lang w:val="fr-BE"/>
        </w:rPr>
        <w:t>D</w:t>
      </w:r>
      <w:r w:rsidRPr="00F25FC9">
        <w:rPr>
          <w:bCs/>
          <w:lang w:val="fr-BE"/>
        </w:rPr>
        <w:t xml:space="preserve">éveloppement obtient-elle en réponse aux contextes de fragilité complexes et volatils, et quel équilibre existe-t-il entre les objectifs et les résultats à court et long termes ? La </w:t>
      </w:r>
      <w:r w:rsidR="001B315B">
        <w:rPr>
          <w:bCs/>
          <w:lang w:val="fr-BE"/>
        </w:rPr>
        <w:t>C</w:t>
      </w:r>
      <w:r w:rsidRPr="00F25FC9">
        <w:rPr>
          <w:bCs/>
          <w:lang w:val="fr-BE"/>
        </w:rPr>
        <w:t xml:space="preserve">oopération belge au </w:t>
      </w:r>
      <w:r w:rsidR="001B315B">
        <w:rPr>
          <w:bCs/>
          <w:lang w:val="fr-BE"/>
        </w:rPr>
        <w:t>D</w:t>
      </w:r>
      <w:r w:rsidRPr="00F25FC9">
        <w:rPr>
          <w:bCs/>
          <w:lang w:val="fr-BE"/>
        </w:rPr>
        <w:t>éveloppement dispose-t-elle des moyens et des instruments adaptés pour opérationnaliser l'approche de la fragilité sur le terrain ?</w:t>
      </w:r>
    </w:p>
    <w:p w14:paraId="292E5E91" w14:textId="77777777" w:rsidR="003628E4" w:rsidRDefault="00852C90" w:rsidP="003628E4">
      <w:pPr>
        <w:pStyle w:val="Vade-mecumtitre2"/>
      </w:pPr>
      <w:bookmarkStart w:id="674" w:name="_Toc113544492"/>
      <w:bookmarkStart w:id="675" w:name="_Toc114066798"/>
      <w:bookmarkStart w:id="676" w:name="_Toc116387795"/>
      <w:bookmarkStart w:id="677" w:name="_Toc117603261"/>
      <w:r w:rsidRPr="00852C90">
        <w:t>B</w:t>
      </w:r>
      <w:bookmarkEnd w:id="674"/>
      <w:bookmarkEnd w:id="675"/>
      <w:bookmarkEnd w:id="676"/>
      <w:r w:rsidR="00A811DF">
        <w:t xml:space="preserve">6.2 </w:t>
      </w:r>
      <w:r w:rsidR="00DF521D" w:rsidRPr="00DF521D">
        <w:t>Questions spécifique</w:t>
      </w:r>
      <w:bookmarkStart w:id="678" w:name="_Toc444521685"/>
      <w:bookmarkStart w:id="679" w:name="_Toc444522175"/>
      <w:bookmarkStart w:id="680" w:name="_Toc444522201"/>
      <w:bookmarkStart w:id="681" w:name="_Toc444521686"/>
      <w:bookmarkStart w:id="682" w:name="_Toc444522176"/>
      <w:bookmarkStart w:id="683" w:name="_Toc444522202"/>
      <w:bookmarkStart w:id="684" w:name="_Toc444521687"/>
      <w:bookmarkStart w:id="685" w:name="_Toc444522177"/>
      <w:bookmarkStart w:id="686" w:name="_Toc444522203"/>
      <w:bookmarkStart w:id="687" w:name="_Toc444521688"/>
      <w:bookmarkStart w:id="688" w:name="_Toc444522178"/>
      <w:bookmarkStart w:id="689" w:name="_Toc444522204"/>
      <w:bookmarkStart w:id="690" w:name="_Toc444521689"/>
      <w:bookmarkStart w:id="691" w:name="_Toc444522179"/>
      <w:bookmarkStart w:id="692" w:name="_Toc444522205"/>
      <w:bookmarkStart w:id="693" w:name="_Toc450715828"/>
      <w:bookmarkStart w:id="694" w:name="_Toc29741228"/>
      <w:bookmarkStart w:id="695" w:name="_Toc35550153"/>
      <w:bookmarkEnd w:id="672"/>
      <w:bookmarkEnd w:id="673"/>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003628E4">
        <w:t>s</w:t>
      </w:r>
      <w:bookmarkEnd w:id="677"/>
    </w:p>
    <w:p w14:paraId="5307B3FF" w14:textId="5911A43D" w:rsidR="003628E4" w:rsidRPr="003628E4" w:rsidRDefault="003628E4" w:rsidP="0040055B">
      <w:pPr>
        <w:spacing w:line="240" w:lineRule="auto"/>
        <w:jc w:val="left"/>
        <w:rPr>
          <w:lang w:val="fr-BE"/>
        </w:rPr>
      </w:pPr>
      <w:r w:rsidRPr="003628E4">
        <w:rPr>
          <w:lang w:val="fr-BE"/>
        </w:rPr>
        <w:t>Les questions énoncées ci-dessous s'inspirent des critères d'évaluation du CAD (pertinence, cohérence, efficacité, efficience, viabilité et impact) sans être subdivisées par critère.</w:t>
      </w:r>
    </w:p>
    <w:p w14:paraId="63C9BF97" w14:textId="4FD695AB" w:rsidR="003628E4" w:rsidRPr="003628E4" w:rsidRDefault="003628E4" w:rsidP="0040055B">
      <w:pPr>
        <w:pStyle w:val="ListParagraph"/>
        <w:numPr>
          <w:ilvl w:val="0"/>
          <w:numId w:val="38"/>
        </w:numPr>
        <w:snapToGrid w:val="0"/>
        <w:spacing w:after="120" w:line="240" w:lineRule="auto"/>
        <w:jc w:val="both"/>
        <w:rPr>
          <w:rFonts w:cstheme="minorHAnsi"/>
          <w:bCs/>
          <w:szCs w:val="22"/>
          <w:lang w:val="fr-BE"/>
        </w:rPr>
      </w:pPr>
      <w:r w:rsidRPr="3586E409">
        <w:rPr>
          <w:lang w:val="fr-BE"/>
        </w:rPr>
        <w:t>Prendre le contexte comme point de départ est le premier des dix </w:t>
      </w:r>
      <w:r w:rsidRPr="3586E409">
        <w:rPr>
          <w:i/>
          <w:iCs/>
          <w:lang w:val="fr-BE"/>
        </w:rPr>
        <w:t>principes d'engagement international dans les États fragiles</w:t>
      </w:r>
      <w:r w:rsidRPr="3586E409">
        <w:rPr>
          <w:lang w:val="fr-BE"/>
        </w:rPr>
        <w:t xml:space="preserve">. Les analyses contextuelles et la compréhension du contexte de fragilité local sont-elles suffisamment solides et la </w:t>
      </w:r>
      <w:r w:rsidR="001B315B">
        <w:rPr>
          <w:lang w:val="fr-BE"/>
        </w:rPr>
        <w:t>C</w:t>
      </w:r>
      <w:r w:rsidRPr="3586E409">
        <w:rPr>
          <w:lang w:val="fr-BE"/>
        </w:rPr>
        <w:t>oopération belge parvient-elle à s'aligner sur le contexte de fragilité local ?</w:t>
      </w:r>
    </w:p>
    <w:p w14:paraId="14A9EA81" w14:textId="77777777" w:rsidR="003628E4" w:rsidRPr="003628E4" w:rsidRDefault="003628E4" w:rsidP="0040055B">
      <w:pPr>
        <w:pStyle w:val="ListParagraph"/>
        <w:snapToGrid w:val="0"/>
        <w:spacing w:after="120" w:line="240" w:lineRule="auto"/>
        <w:jc w:val="both"/>
        <w:rPr>
          <w:rFonts w:cstheme="minorHAnsi"/>
          <w:bCs/>
          <w:szCs w:val="22"/>
          <w:lang w:val="fr-BE"/>
        </w:rPr>
      </w:pPr>
    </w:p>
    <w:p w14:paraId="6B5F7477" w14:textId="3C392B2A" w:rsidR="003628E4" w:rsidRPr="003628E4" w:rsidRDefault="003628E4" w:rsidP="0040055B">
      <w:pPr>
        <w:pStyle w:val="ListParagraph"/>
        <w:numPr>
          <w:ilvl w:val="0"/>
          <w:numId w:val="38"/>
        </w:numPr>
        <w:snapToGrid w:val="0"/>
        <w:spacing w:after="120" w:line="240" w:lineRule="auto"/>
        <w:jc w:val="both"/>
        <w:rPr>
          <w:rFonts w:cstheme="minorHAnsi"/>
          <w:bCs/>
          <w:szCs w:val="22"/>
          <w:lang w:val="fr-BE"/>
        </w:rPr>
      </w:pPr>
      <w:r w:rsidRPr="3586E409">
        <w:rPr>
          <w:lang w:val="fr-BE"/>
        </w:rPr>
        <w:t xml:space="preserve">Les principes internationaux et les orientations stratégiques de la Belgique (dix principes, INCAF, approche globale, Acropolis, nexus, notes stratégiques, </w:t>
      </w:r>
      <w:r w:rsidRPr="3586E409">
        <w:rPr>
          <w:i/>
          <w:iCs/>
          <w:lang w:val="fr-BE"/>
        </w:rPr>
        <w:t>Leave No One Behind</w:t>
      </w:r>
      <w:r w:rsidRPr="3586E409">
        <w:rPr>
          <w:lang w:val="fr-BE"/>
        </w:rPr>
        <w:t xml:space="preserve">, sensibilité aux conflits, </w:t>
      </w:r>
      <w:r w:rsidR="0072258B">
        <w:rPr>
          <w:lang w:val="fr-BE"/>
        </w:rPr>
        <w:t>localisation</w:t>
      </w:r>
      <w:r w:rsidRPr="3586E409">
        <w:rPr>
          <w:lang w:val="fr-BE"/>
        </w:rPr>
        <w:t>) se reflètent-ils suffisamment dans l'approche concrète en matière de fragilité au niveau des pays partenaires ?</w:t>
      </w:r>
    </w:p>
    <w:p w14:paraId="4803F995" w14:textId="77777777" w:rsidR="003628E4" w:rsidRPr="003628E4" w:rsidRDefault="003628E4" w:rsidP="0040055B">
      <w:pPr>
        <w:pStyle w:val="ListParagraph"/>
        <w:spacing w:line="240" w:lineRule="auto"/>
        <w:rPr>
          <w:rFonts w:cstheme="minorHAnsi"/>
          <w:bCs/>
          <w:szCs w:val="22"/>
          <w:lang w:val="fr-BE"/>
        </w:rPr>
      </w:pPr>
    </w:p>
    <w:p w14:paraId="70CB5B19" w14:textId="77777777" w:rsidR="003628E4" w:rsidRPr="003628E4" w:rsidRDefault="003628E4" w:rsidP="0040055B">
      <w:pPr>
        <w:pStyle w:val="ListParagraph"/>
        <w:numPr>
          <w:ilvl w:val="0"/>
          <w:numId w:val="38"/>
        </w:numPr>
        <w:snapToGrid w:val="0"/>
        <w:spacing w:after="120" w:line="240" w:lineRule="auto"/>
        <w:jc w:val="both"/>
        <w:rPr>
          <w:rFonts w:cstheme="minorHAnsi"/>
          <w:bCs/>
          <w:szCs w:val="22"/>
          <w:lang w:val="fr-BE"/>
        </w:rPr>
      </w:pPr>
      <w:r w:rsidRPr="3586E409">
        <w:rPr>
          <w:lang w:val="fr-BE"/>
        </w:rPr>
        <w:t>Quel degré de synergie/cohérence existe-t-il entre la coopération au développement et les autres piliers de la politique étrangère belge dans les pays partenaires fragiles ? Les différents piliers se renforcent-ils mutuellement ?</w:t>
      </w:r>
    </w:p>
    <w:p w14:paraId="4472B782" w14:textId="77777777" w:rsidR="003628E4" w:rsidRPr="003628E4" w:rsidRDefault="003628E4" w:rsidP="0040055B">
      <w:pPr>
        <w:pStyle w:val="ListParagraph"/>
        <w:spacing w:line="240" w:lineRule="auto"/>
        <w:rPr>
          <w:rFonts w:cstheme="minorHAnsi"/>
          <w:bCs/>
          <w:szCs w:val="22"/>
          <w:lang w:val="fr-BE"/>
        </w:rPr>
      </w:pPr>
    </w:p>
    <w:p w14:paraId="4E62D248" w14:textId="77777777" w:rsidR="003628E4" w:rsidRPr="003628E4" w:rsidRDefault="003628E4" w:rsidP="0040055B">
      <w:pPr>
        <w:pStyle w:val="ListParagraph"/>
        <w:numPr>
          <w:ilvl w:val="0"/>
          <w:numId w:val="38"/>
        </w:numPr>
        <w:snapToGrid w:val="0"/>
        <w:spacing w:after="120" w:line="240" w:lineRule="auto"/>
        <w:jc w:val="both"/>
        <w:rPr>
          <w:rFonts w:cstheme="minorHAnsi"/>
          <w:bCs/>
          <w:szCs w:val="22"/>
          <w:lang w:val="fr-BE"/>
        </w:rPr>
      </w:pPr>
      <w:r w:rsidRPr="3586E409">
        <w:rPr>
          <w:lang w:val="fr-BE"/>
        </w:rPr>
        <w:t>Quel est le degré d'appropriation par le pays partenaire de l'approche en matière de fragilité mise en œuvre dans le pays en question ?</w:t>
      </w:r>
    </w:p>
    <w:p w14:paraId="4029F5CA" w14:textId="77777777" w:rsidR="003628E4" w:rsidRPr="003628E4" w:rsidRDefault="003628E4" w:rsidP="0040055B">
      <w:pPr>
        <w:pStyle w:val="ListParagraph"/>
        <w:spacing w:line="240" w:lineRule="auto"/>
        <w:rPr>
          <w:rFonts w:cstheme="minorHAnsi"/>
          <w:bCs/>
          <w:szCs w:val="22"/>
          <w:lang w:val="fr-BE"/>
        </w:rPr>
      </w:pPr>
    </w:p>
    <w:p w14:paraId="109E6FEA" w14:textId="7691BC0C" w:rsidR="003628E4" w:rsidRPr="003628E4" w:rsidRDefault="003628E4" w:rsidP="0040055B">
      <w:pPr>
        <w:pStyle w:val="ListParagraph"/>
        <w:numPr>
          <w:ilvl w:val="0"/>
          <w:numId w:val="38"/>
        </w:numPr>
        <w:snapToGrid w:val="0"/>
        <w:spacing w:after="120" w:line="240" w:lineRule="auto"/>
        <w:jc w:val="both"/>
        <w:rPr>
          <w:rFonts w:cstheme="minorHAnsi"/>
          <w:bCs/>
          <w:szCs w:val="22"/>
          <w:lang w:val="fr-BE"/>
        </w:rPr>
      </w:pPr>
      <w:r w:rsidRPr="3586E409">
        <w:rPr>
          <w:lang w:val="fr-BE"/>
        </w:rPr>
        <w:t xml:space="preserve">Les canaux et les instruments de la </w:t>
      </w:r>
      <w:r w:rsidR="001B315B">
        <w:rPr>
          <w:lang w:val="fr-BE"/>
        </w:rPr>
        <w:t>C</w:t>
      </w:r>
      <w:r w:rsidRPr="3586E409">
        <w:rPr>
          <w:lang w:val="fr-BE"/>
        </w:rPr>
        <w:t xml:space="preserve">oopération belge au </w:t>
      </w:r>
      <w:r w:rsidR="001B315B">
        <w:rPr>
          <w:lang w:val="fr-BE"/>
        </w:rPr>
        <w:t>D</w:t>
      </w:r>
      <w:r w:rsidRPr="3586E409">
        <w:rPr>
          <w:lang w:val="fr-BE"/>
        </w:rPr>
        <w:t>éveloppement sont-ils alignés sur le contexte volatil des pays fragiles ? Et le degré de flexibilité lors de l'utilisation de ces canaux et instruments est-il adapté à la volatilité des contextes fragiles ?</w:t>
      </w:r>
    </w:p>
    <w:p w14:paraId="2938213A" w14:textId="77777777" w:rsidR="003628E4" w:rsidRPr="003628E4" w:rsidRDefault="003628E4" w:rsidP="0040055B">
      <w:pPr>
        <w:pStyle w:val="ListParagraph"/>
        <w:spacing w:line="240" w:lineRule="auto"/>
        <w:rPr>
          <w:rFonts w:cstheme="minorHAnsi"/>
          <w:bCs/>
          <w:szCs w:val="22"/>
          <w:lang w:val="fr-BE"/>
        </w:rPr>
      </w:pPr>
    </w:p>
    <w:p w14:paraId="6374B060" w14:textId="032738EA" w:rsidR="003628E4" w:rsidRPr="003628E4" w:rsidRDefault="003628E4" w:rsidP="0040055B">
      <w:pPr>
        <w:pStyle w:val="ListParagraph"/>
        <w:numPr>
          <w:ilvl w:val="0"/>
          <w:numId w:val="38"/>
        </w:numPr>
        <w:snapToGrid w:val="0"/>
        <w:spacing w:after="120" w:line="240" w:lineRule="auto"/>
        <w:jc w:val="both"/>
        <w:rPr>
          <w:rFonts w:cstheme="minorHAnsi"/>
          <w:bCs/>
          <w:szCs w:val="22"/>
          <w:lang w:val="fr-BE"/>
        </w:rPr>
      </w:pPr>
      <w:r w:rsidRPr="3586E409">
        <w:rPr>
          <w:lang w:val="fr-BE"/>
        </w:rPr>
        <w:t>Toutes les interventions belges en matière de développement forment-elles un ensemble complémentaire et répondent-elles aux besoins locaux ? Plus spécifiquement, les interventions plus ponctuelles (service Consolidation de la paix et service Transition) et les financements plus structurels par l'intermédiaire d'Enabel</w:t>
      </w:r>
      <w:r w:rsidR="00A5253D">
        <w:rPr>
          <w:lang w:val="fr-BE"/>
        </w:rPr>
        <w:t>,</w:t>
      </w:r>
      <w:r w:rsidRPr="3586E409">
        <w:rPr>
          <w:lang w:val="fr-BE"/>
        </w:rPr>
        <w:t xml:space="preserve"> des A</w:t>
      </w:r>
      <w:r w:rsidR="00C24054">
        <w:rPr>
          <w:lang w:val="fr-BE"/>
        </w:rPr>
        <w:t>C</w:t>
      </w:r>
      <w:r w:rsidRPr="3586E409">
        <w:rPr>
          <w:lang w:val="fr-BE"/>
        </w:rPr>
        <w:t xml:space="preserve">NG </w:t>
      </w:r>
      <w:r w:rsidR="00F1646C">
        <w:rPr>
          <w:lang w:val="fr-BE"/>
        </w:rPr>
        <w:t xml:space="preserve">et des canaux multilatéraux </w:t>
      </w:r>
      <w:r w:rsidRPr="3586E409">
        <w:rPr>
          <w:lang w:val="fr-BE"/>
        </w:rPr>
        <w:t xml:space="preserve">sont-ils complémentaires ? </w:t>
      </w:r>
    </w:p>
    <w:p w14:paraId="0E9F3CFA" w14:textId="77777777" w:rsidR="003628E4" w:rsidRPr="003628E4" w:rsidRDefault="003628E4" w:rsidP="0040055B">
      <w:pPr>
        <w:pStyle w:val="ListParagraph"/>
        <w:spacing w:line="240" w:lineRule="auto"/>
        <w:rPr>
          <w:rFonts w:cstheme="minorHAnsi"/>
          <w:bCs/>
          <w:szCs w:val="22"/>
          <w:lang w:val="fr-BE"/>
        </w:rPr>
      </w:pPr>
    </w:p>
    <w:p w14:paraId="79FF609B" w14:textId="7CC79B2F" w:rsidR="003628E4" w:rsidRPr="003628E4" w:rsidRDefault="003628E4" w:rsidP="0040055B">
      <w:pPr>
        <w:pStyle w:val="ListParagraph"/>
        <w:numPr>
          <w:ilvl w:val="0"/>
          <w:numId w:val="38"/>
        </w:numPr>
        <w:snapToGrid w:val="0"/>
        <w:spacing w:after="120" w:line="240" w:lineRule="auto"/>
        <w:jc w:val="both"/>
        <w:rPr>
          <w:rFonts w:cstheme="minorHAnsi"/>
          <w:bCs/>
          <w:szCs w:val="22"/>
          <w:lang w:val="fr-BE"/>
        </w:rPr>
      </w:pPr>
      <w:r w:rsidRPr="3586E409">
        <w:rPr>
          <w:lang w:val="fr-BE"/>
        </w:rPr>
        <w:t xml:space="preserve">Le mix actuel de mise en œuvre des différents canaux et instruments de la </w:t>
      </w:r>
      <w:r w:rsidR="00EB531E">
        <w:rPr>
          <w:lang w:val="fr-BE"/>
        </w:rPr>
        <w:t>C</w:t>
      </w:r>
      <w:r w:rsidRPr="3586E409">
        <w:rPr>
          <w:lang w:val="fr-BE"/>
        </w:rPr>
        <w:t xml:space="preserve">oopération belge au </w:t>
      </w:r>
      <w:r w:rsidR="00EB531E">
        <w:rPr>
          <w:lang w:val="fr-BE"/>
        </w:rPr>
        <w:t>D</w:t>
      </w:r>
      <w:r w:rsidRPr="3586E409">
        <w:rPr>
          <w:lang w:val="fr-BE"/>
        </w:rPr>
        <w:t>éveloppement est-il le plus efficient dans un contexte fragile ?</w:t>
      </w:r>
    </w:p>
    <w:p w14:paraId="552A17F6" w14:textId="77777777" w:rsidR="003628E4" w:rsidRPr="003628E4" w:rsidRDefault="003628E4" w:rsidP="0040055B">
      <w:pPr>
        <w:pStyle w:val="ListParagraph"/>
        <w:spacing w:line="240" w:lineRule="auto"/>
        <w:rPr>
          <w:rFonts w:cstheme="minorHAnsi"/>
          <w:bCs/>
          <w:szCs w:val="22"/>
          <w:lang w:val="fr-BE"/>
        </w:rPr>
      </w:pPr>
    </w:p>
    <w:p w14:paraId="0FA189AA" w14:textId="2EB638DF" w:rsidR="003628E4" w:rsidRPr="003628E4" w:rsidRDefault="003628E4" w:rsidP="0040055B">
      <w:pPr>
        <w:pStyle w:val="ListParagraph"/>
        <w:numPr>
          <w:ilvl w:val="0"/>
          <w:numId w:val="38"/>
        </w:numPr>
        <w:snapToGrid w:val="0"/>
        <w:spacing w:after="120" w:line="240" w:lineRule="auto"/>
        <w:jc w:val="both"/>
        <w:rPr>
          <w:rFonts w:cstheme="minorHAnsi"/>
          <w:bCs/>
          <w:szCs w:val="22"/>
          <w:lang w:val="fr-BE"/>
        </w:rPr>
      </w:pPr>
      <w:r w:rsidRPr="3586E409">
        <w:rPr>
          <w:lang w:val="fr-BE"/>
        </w:rPr>
        <w:t xml:space="preserve">Les objectifs fixés pour les interventions belges sont-ils réalistes et réalisables dans un contexte fragile ? Quels sont les résultats obtenus et peuvent-ils être considérés comme une réussite dans un contexte fragile ? Les interventions apportent-elles une valeur ajoutée avérée pour la population bénéficiaire ? Quelles sont les principales raisons expliquant que les résultats </w:t>
      </w:r>
      <w:r w:rsidR="00C24054">
        <w:rPr>
          <w:lang w:val="fr-BE"/>
        </w:rPr>
        <w:t>(</w:t>
      </w:r>
      <w:r w:rsidRPr="3586E409">
        <w:rPr>
          <w:lang w:val="fr-BE"/>
        </w:rPr>
        <w:t>ne</w:t>
      </w:r>
      <w:r w:rsidR="00C24054">
        <w:rPr>
          <w:lang w:val="fr-BE"/>
        </w:rPr>
        <w:t>)</w:t>
      </w:r>
      <w:r w:rsidRPr="3586E409">
        <w:rPr>
          <w:lang w:val="fr-BE"/>
        </w:rPr>
        <w:t xml:space="preserve"> soient </w:t>
      </w:r>
      <w:r w:rsidR="00C24054">
        <w:rPr>
          <w:lang w:val="fr-BE"/>
        </w:rPr>
        <w:t>(</w:t>
      </w:r>
      <w:r w:rsidRPr="3586E409">
        <w:rPr>
          <w:lang w:val="fr-BE"/>
        </w:rPr>
        <w:t>pas</w:t>
      </w:r>
      <w:r w:rsidR="00C24054">
        <w:rPr>
          <w:lang w:val="fr-BE"/>
        </w:rPr>
        <w:t>)</w:t>
      </w:r>
      <w:r w:rsidRPr="3586E409">
        <w:rPr>
          <w:lang w:val="fr-BE"/>
        </w:rPr>
        <w:t xml:space="preserve"> atteints ?</w:t>
      </w:r>
    </w:p>
    <w:p w14:paraId="432AEF50" w14:textId="77777777" w:rsidR="003628E4" w:rsidRPr="003628E4" w:rsidRDefault="003628E4" w:rsidP="0040055B">
      <w:pPr>
        <w:pStyle w:val="ListParagraph"/>
        <w:spacing w:line="240" w:lineRule="auto"/>
        <w:rPr>
          <w:rFonts w:cstheme="minorHAnsi"/>
          <w:bCs/>
          <w:szCs w:val="22"/>
          <w:lang w:val="fr-BE"/>
        </w:rPr>
      </w:pPr>
    </w:p>
    <w:p w14:paraId="4419C9BB" w14:textId="77777777" w:rsidR="003628E4" w:rsidRPr="003628E4" w:rsidRDefault="003628E4" w:rsidP="0040055B">
      <w:pPr>
        <w:pStyle w:val="ListParagraph"/>
        <w:numPr>
          <w:ilvl w:val="0"/>
          <w:numId w:val="38"/>
        </w:numPr>
        <w:snapToGrid w:val="0"/>
        <w:spacing w:after="120" w:line="240" w:lineRule="auto"/>
        <w:jc w:val="both"/>
        <w:rPr>
          <w:rFonts w:cstheme="minorHAnsi"/>
          <w:bCs/>
          <w:szCs w:val="22"/>
          <w:lang w:val="fr-BE"/>
        </w:rPr>
      </w:pPr>
      <w:r w:rsidRPr="3586E409">
        <w:rPr>
          <w:lang w:val="fr-BE"/>
        </w:rPr>
        <w:t>Intervenir dans des contextes fragiles comporte un grand nombre de risques : le niveau de risque que la Belgique est disposée à courir, tant en termes d'acceptation de l'échec des interventions que de risques sécuritaires pour les acteurs du développement, est-il adapté aux contextes fragiles dans lesquels elle intervient ?</w:t>
      </w:r>
    </w:p>
    <w:p w14:paraId="2C5CD20B" w14:textId="77777777" w:rsidR="003628E4" w:rsidRPr="003628E4" w:rsidRDefault="003628E4" w:rsidP="0040055B">
      <w:pPr>
        <w:pStyle w:val="ListParagraph"/>
        <w:spacing w:line="240" w:lineRule="auto"/>
        <w:rPr>
          <w:rFonts w:cstheme="minorHAnsi"/>
          <w:bCs/>
          <w:szCs w:val="22"/>
          <w:lang w:val="fr-BE"/>
        </w:rPr>
      </w:pPr>
    </w:p>
    <w:p w14:paraId="3557E74B" w14:textId="3087ECC2" w:rsidR="003628E4" w:rsidRPr="003628E4" w:rsidRDefault="003628E4" w:rsidP="0040055B">
      <w:pPr>
        <w:pStyle w:val="ListParagraph"/>
        <w:numPr>
          <w:ilvl w:val="0"/>
          <w:numId w:val="38"/>
        </w:numPr>
        <w:snapToGrid w:val="0"/>
        <w:spacing w:after="120" w:line="240" w:lineRule="auto"/>
        <w:jc w:val="both"/>
        <w:rPr>
          <w:rFonts w:cstheme="minorHAnsi"/>
          <w:bCs/>
          <w:szCs w:val="22"/>
          <w:lang w:val="fr-BE"/>
        </w:rPr>
      </w:pPr>
      <w:r w:rsidRPr="3586E409">
        <w:rPr>
          <w:lang w:val="fr-BE"/>
        </w:rPr>
        <w:t xml:space="preserve">La </w:t>
      </w:r>
      <w:r w:rsidR="00C62B7A">
        <w:rPr>
          <w:lang w:val="fr-BE"/>
        </w:rPr>
        <w:t>C</w:t>
      </w:r>
      <w:r w:rsidRPr="3586E409">
        <w:rPr>
          <w:lang w:val="fr-BE"/>
        </w:rPr>
        <w:t xml:space="preserve">oopération belge au </w:t>
      </w:r>
      <w:r w:rsidR="00C62B7A">
        <w:rPr>
          <w:lang w:val="fr-BE"/>
        </w:rPr>
        <w:t>D</w:t>
      </w:r>
      <w:r w:rsidRPr="3586E409">
        <w:rPr>
          <w:lang w:val="fr-BE"/>
        </w:rPr>
        <w:t>éveloppement parvient-elle également à contribuer aux objectifs à long terme dans les contextes fragiles volatils ? Peut-on observer des  résultats durables ?</w:t>
      </w:r>
    </w:p>
    <w:p w14:paraId="0850FA5F" w14:textId="77777777" w:rsidR="003628E4" w:rsidRPr="003628E4" w:rsidRDefault="003628E4" w:rsidP="0040055B">
      <w:pPr>
        <w:pStyle w:val="ListParagraph"/>
        <w:spacing w:line="240" w:lineRule="auto"/>
        <w:rPr>
          <w:rFonts w:cstheme="minorHAnsi"/>
          <w:bCs/>
          <w:szCs w:val="22"/>
          <w:lang w:val="fr-BE"/>
        </w:rPr>
      </w:pPr>
    </w:p>
    <w:p w14:paraId="1732BB84" w14:textId="3660A99E" w:rsidR="003628E4" w:rsidRPr="003628E4" w:rsidRDefault="003628E4" w:rsidP="0040055B">
      <w:pPr>
        <w:pStyle w:val="ListParagraph"/>
        <w:numPr>
          <w:ilvl w:val="0"/>
          <w:numId w:val="38"/>
        </w:numPr>
        <w:snapToGrid w:val="0"/>
        <w:spacing w:after="120" w:line="240" w:lineRule="auto"/>
        <w:jc w:val="both"/>
        <w:rPr>
          <w:rFonts w:cstheme="minorHAnsi"/>
          <w:bCs/>
          <w:szCs w:val="22"/>
          <w:lang w:val="fr-BE"/>
        </w:rPr>
      </w:pPr>
      <w:r w:rsidRPr="3586E409">
        <w:rPr>
          <w:lang w:val="fr-BE"/>
        </w:rPr>
        <w:t xml:space="preserve">Les thèmes transversaux Genre et Environnement se reflètent-ils suffisamment dans l'approche en matière de fragilité ? </w:t>
      </w:r>
    </w:p>
    <w:p w14:paraId="38E9FBEC" w14:textId="168DF174" w:rsidR="00852C90" w:rsidRPr="0040055B" w:rsidRDefault="00852C90" w:rsidP="00852C90">
      <w:pPr>
        <w:pStyle w:val="Vade-mecumtitre1"/>
        <w:numPr>
          <w:ilvl w:val="0"/>
          <w:numId w:val="0"/>
        </w:numPr>
        <w:ind w:left="432" w:hanging="432"/>
        <w:rPr>
          <w:lang w:val="fr-BE"/>
        </w:rPr>
      </w:pPr>
      <w:bookmarkStart w:id="696" w:name="_Toc117603262"/>
      <w:r w:rsidRPr="0040055B">
        <w:rPr>
          <w:lang w:val="fr-BE"/>
        </w:rPr>
        <w:t>B</w:t>
      </w:r>
      <w:r w:rsidR="0040055B" w:rsidRPr="0040055B">
        <w:rPr>
          <w:lang w:val="fr-BE"/>
        </w:rPr>
        <w:t>7</w:t>
      </w:r>
      <w:r w:rsidRPr="0040055B">
        <w:rPr>
          <w:lang w:val="fr-BE"/>
        </w:rPr>
        <w:t xml:space="preserve">. </w:t>
      </w:r>
      <w:bookmarkEnd w:id="693"/>
      <w:bookmarkEnd w:id="694"/>
      <w:bookmarkEnd w:id="695"/>
      <w:r w:rsidR="0040055B" w:rsidRPr="0040055B">
        <w:rPr>
          <w:lang w:val="fr-BE"/>
        </w:rPr>
        <w:t>Approche et déroulement</w:t>
      </w:r>
      <w:bookmarkEnd w:id="696"/>
    </w:p>
    <w:p w14:paraId="71DDDCF1" w14:textId="21C081FA" w:rsidR="00852C90" w:rsidRDefault="00F46BB4" w:rsidP="00F46BB4">
      <w:pPr>
        <w:pStyle w:val="Vade-mecumtitre2"/>
      </w:pPr>
      <w:bookmarkStart w:id="697" w:name="_Toc117603263"/>
      <w:bookmarkStart w:id="698" w:name="_Toc437948682"/>
      <w:bookmarkStart w:id="699" w:name="_Toc450715829"/>
      <w:bookmarkStart w:id="700" w:name="_Toc29741229"/>
      <w:r>
        <w:t xml:space="preserve">B7.1 </w:t>
      </w:r>
      <w:r w:rsidRPr="00F46BB4">
        <w:t>Approche (méthodologique) et cadrage</w:t>
      </w:r>
      <w:bookmarkEnd w:id="697"/>
    </w:p>
    <w:p w14:paraId="465E0113" w14:textId="62639018" w:rsidR="00F30FC9" w:rsidRDefault="00F30FC9" w:rsidP="00F30FC9">
      <w:pPr>
        <w:pStyle w:val="Vade-Mecum0"/>
        <w:spacing w:line="240" w:lineRule="auto"/>
        <w:jc w:val="both"/>
      </w:pPr>
      <w:r>
        <w:t xml:space="preserve">Tout d’abord, les évaluateurs procèderont à une première consultation auprès des principales parties prenantes de la Coopération belge au </w:t>
      </w:r>
      <w:r w:rsidR="005E0371">
        <w:t>D</w:t>
      </w:r>
      <w:r>
        <w:t>éveloppement et à un premier examen des documents stratégiques et conceptuels belges et internationaux les plus importants. Des études récentes et des bilans internationaux sur la fragilité feront également partie des ressources consultées. Des voix pertinentes du monde académique et des forums internationaux sur la fragilité (par exemple, l’INCAF) seront prises en considération et consultées.</w:t>
      </w:r>
    </w:p>
    <w:p w14:paraId="1F5C03E8" w14:textId="77777777" w:rsidR="00F30FC9" w:rsidRDefault="00F30FC9" w:rsidP="00F30FC9">
      <w:pPr>
        <w:pStyle w:val="Vade-Mecum0"/>
        <w:spacing w:line="240" w:lineRule="auto"/>
        <w:jc w:val="both"/>
      </w:pPr>
      <w:r>
        <w:t xml:space="preserve">Cette première phase doit aboutir à une note méthodologique détaillant à la fois la méthodologie et l'approche pratique. Au cours de cette phase, les questions d’évaluation définies dans le cahier des charges mais aussi la méthodologie proposée dans l'offre pourront être affinées (sur approbation du comité d'accompagnement). </w:t>
      </w:r>
    </w:p>
    <w:p w14:paraId="280E9221" w14:textId="77777777" w:rsidR="00F30FC9" w:rsidRDefault="00F30FC9" w:rsidP="00F30FC9">
      <w:pPr>
        <w:pStyle w:val="Vade-Mecum0"/>
        <w:spacing w:line="240" w:lineRule="auto"/>
        <w:jc w:val="both"/>
      </w:pPr>
      <w:r>
        <w:t xml:space="preserve">Il y a lieu de prêter une attention particulière à l'approche pratique en ce qui concerne la collecte de données dans les contextes fragiles, les limites de la faisabilité des missions de terrain, la collecte de données à distance, la sécurité des évaluateurs et des évalués. </w:t>
      </w:r>
    </w:p>
    <w:p w14:paraId="7147141B" w14:textId="4B2557D5" w:rsidR="00F46BB4" w:rsidRDefault="00F30FC9" w:rsidP="00F30FC9">
      <w:pPr>
        <w:pStyle w:val="Vade-Mecum0"/>
        <w:spacing w:line="240" w:lineRule="auto"/>
        <w:jc w:val="both"/>
      </w:pPr>
      <w:r>
        <w:t>Le principe « ne pas nuire » sera également d'application dans cette évaluation.</w:t>
      </w:r>
    </w:p>
    <w:p w14:paraId="72A76F33" w14:textId="4824983F" w:rsidR="0062392F" w:rsidRDefault="0062392F" w:rsidP="00F30FC9">
      <w:pPr>
        <w:pStyle w:val="Vade-Mecum0"/>
        <w:spacing w:line="240" w:lineRule="auto"/>
        <w:jc w:val="both"/>
      </w:pPr>
    </w:p>
    <w:p w14:paraId="15084E7D" w14:textId="5E93750E" w:rsidR="0062392F" w:rsidRPr="0062392F" w:rsidRDefault="0062392F" w:rsidP="00543F3F">
      <w:pPr>
        <w:pStyle w:val="Vade-mecumtitre2"/>
      </w:pPr>
      <w:bookmarkStart w:id="701" w:name="_Toc117603264"/>
      <w:r>
        <w:t>B7.2</w:t>
      </w:r>
      <w:r w:rsidRPr="0062392F">
        <w:t xml:space="preserve"> Cartographie</w:t>
      </w:r>
      <w:r w:rsidR="00115287">
        <w:t xml:space="preserve"> et analyse</w:t>
      </w:r>
      <w:r w:rsidRPr="0062392F">
        <w:t xml:space="preserve"> de la </w:t>
      </w:r>
      <w:r w:rsidR="005E0371">
        <w:t>C</w:t>
      </w:r>
      <w:r w:rsidRPr="0062392F">
        <w:t xml:space="preserve">oopération belge au </w:t>
      </w:r>
      <w:r w:rsidR="005E0371">
        <w:t>D</w:t>
      </w:r>
      <w:r w:rsidRPr="0062392F">
        <w:t>éveloppement dans les pays partenaires fragiles</w:t>
      </w:r>
      <w:bookmarkEnd w:id="701"/>
    </w:p>
    <w:p w14:paraId="7AB7DFDB" w14:textId="4772CBE9" w:rsidR="0062392F" w:rsidRPr="0062392F" w:rsidRDefault="0062392F" w:rsidP="008F560C">
      <w:pPr>
        <w:spacing w:before="200" w:after="0" w:line="240" w:lineRule="auto"/>
        <w:jc w:val="both"/>
        <w:rPr>
          <w:rFonts w:eastAsia="Times New Roman" w:cs="Times New Roman"/>
          <w:color w:val="000000"/>
          <w:szCs w:val="22"/>
          <w:lang w:val="fr-BE"/>
        </w:rPr>
      </w:pPr>
      <w:r w:rsidRPr="0062392F">
        <w:rPr>
          <w:rFonts w:eastAsia="Times New Roman" w:cs="Times New Roman"/>
          <w:color w:val="000000"/>
          <w:szCs w:val="22"/>
          <w:lang w:val="fr-BE"/>
        </w:rPr>
        <w:t xml:space="preserve">La cartographie s’appuiera sur une étude approfondie </w:t>
      </w:r>
      <w:r w:rsidR="005E7CF6">
        <w:rPr>
          <w:rFonts w:eastAsia="Times New Roman" w:cs="Times New Roman"/>
          <w:color w:val="000000"/>
          <w:szCs w:val="22"/>
          <w:lang w:val="fr-BE"/>
        </w:rPr>
        <w:t xml:space="preserve">les données et informations </w:t>
      </w:r>
      <w:r w:rsidRPr="0062392F">
        <w:rPr>
          <w:rFonts w:eastAsia="Times New Roman" w:cs="Times New Roman"/>
          <w:color w:val="000000"/>
          <w:szCs w:val="22"/>
          <w:lang w:val="fr-BE"/>
        </w:rPr>
        <w:t xml:space="preserve"> disponibles sur l'APD belge à destination des pays partenaires fragiles. La cartographie fournira un aperçu de la combinaison de canaux et d'instruments déployés dans les pays partenaires fragiles et des secteurs soutenus, et mettra en évidence les évolutions/tendances sur la période 2015-2022. Dans la mesure où des données similaires relatives au soutien des autres donateurs dans les pays fragiles sont disponibles, une comparaison internationale sera effectuée.</w:t>
      </w:r>
    </w:p>
    <w:p w14:paraId="7B13DB93" w14:textId="356B8A9B" w:rsidR="0062392F" w:rsidRDefault="0062392F" w:rsidP="008F560C">
      <w:pPr>
        <w:spacing w:before="200" w:after="0" w:line="240" w:lineRule="auto"/>
        <w:jc w:val="both"/>
        <w:rPr>
          <w:rFonts w:eastAsia="Times New Roman" w:cs="Times New Roman"/>
          <w:color w:val="000000"/>
          <w:szCs w:val="22"/>
          <w:lang w:val="fr-BE"/>
        </w:rPr>
      </w:pPr>
      <w:r w:rsidRPr="0062392F">
        <w:rPr>
          <w:rFonts w:eastAsia="Times New Roman" w:cs="Times New Roman"/>
          <w:color w:val="000000"/>
          <w:szCs w:val="22"/>
          <w:lang w:val="fr-BE"/>
        </w:rPr>
        <w:t>La cartographie établira également une comparaison entre l'APD belge destinée aux pays partenaires fragiles et celle destinée aux pays partenaires non fragiles. Parmi ces pays partenaires non fragiles, les pays partenaires sortants 2015-2019 peuvent également être pris en compte.</w:t>
      </w:r>
    </w:p>
    <w:p w14:paraId="79B11F5E" w14:textId="280EC10C" w:rsidR="00EE775E" w:rsidRPr="0062392F" w:rsidRDefault="00EE775E" w:rsidP="008F560C">
      <w:pPr>
        <w:spacing w:before="200" w:after="0" w:line="240" w:lineRule="auto"/>
        <w:jc w:val="both"/>
        <w:rPr>
          <w:rFonts w:eastAsia="Times New Roman" w:cs="Times New Roman"/>
          <w:color w:val="000000"/>
          <w:szCs w:val="22"/>
          <w:lang w:val="fr-BE"/>
        </w:rPr>
      </w:pPr>
      <w:r>
        <w:rPr>
          <w:rFonts w:eastAsia="Times New Roman"/>
          <w:lang w:val="fr-BE"/>
        </w:rPr>
        <w:t>Ce mapping ne sera pas seulement une analyse des flux financiers de l’APD (Aide publique au développement) mais comprendra une première analyse des types d’actions et de réponses spécifiques dans les contextes fragiles</w:t>
      </w:r>
      <w:r w:rsidR="00BD1DFD">
        <w:rPr>
          <w:rFonts w:eastAsia="Times New Roman"/>
          <w:lang w:val="fr-BE"/>
        </w:rPr>
        <w:t>.</w:t>
      </w:r>
    </w:p>
    <w:p w14:paraId="5C04F4D8" w14:textId="202020AE" w:rsidR="0062392F" w:rsidRPr="0062392F" w:rsidRDefault="00AB37C8" w:rsidP="008F560C">
      <w:pPr>
        <w:spacing w:before="200" w:after="0" w:line="240" w:lineRule="auto"/>
        <w:jc w:val="both"/>
        <w:rPr>
          <w:rFonts w:eastAsia="Times New Roman" w:cs="Times New Roman"/>
          <w:szCs w:val="22"/>
          <w:lang w:val="fr-BE"/>
        </w:rPr>
      </w:pPr>
      <w:r>
        <w:rPr>
          <w:rFonts w:eastAsia="Times New Roman" w:cs="Times New Roman"/>
          <w:color w:val="000000"/>
          <w:szCs w:val="22"/>
          <w:lang w:val="fr-BE"/>
        </w:rPr>
        <w:t>Cette phase</w:t>
      </w:r>
      <w:r w:rsidR="0062392F" w:rsidRPr="0062392F">
        <w:rPr>
          <w:rFonts w:eastAsia="Times New Roman" w:cs="Times New Roman"/>
          <w:color w:val="000000"/>
          <w:szCs w:val="22"/>
          <w:lang w:val="fr-BE"/>
        </w:rPr>
        <w:t xml:space="preserve"> s'achèvera par une consultation plus large des parties prenantes et un examen plus fouillé des documents accessibles. </w:t>
      </w:r>
      <w:r w:rsidR="0062392F" w:rsidRPr="0062392F">
        <w:rPr>
          <w:rFonts w:eastAsia="Times New Roman" w:cs="Times New Roman"/>
          <w:szCs w:val="22"/>
          <w:lang w:val="fr-BE"/>
        </w:rPr>
        <w:t xml:space="preserve">Les évaluations récentes du SES sur le </w:t>
      </w:r>
      <w:r w:rsidR="0062392F" w:rsidRPr="0062392F">
        <w:rPr>
          <w:rFonts w:eastAsia="Times New Roman" w:cs="Times New Roman"/>
          <w:i/>
          <w:szCs w:val="22"/>
          <w:lang w:val="fr-BE"/>
        </w:rPr>
        <w:t>core funding</w:t>
      </w:r>
      <w:r w:rsidR="0062392F" w:rsidRPr="0062392F">
        <w:rPr>
          <w:rFonts w:eastAsia="Times New Roman" w:cs="Times New Roman"/>
          <w:szCs w:val="22"/>
          <w:lang w:val="fr-BE"/>
        </w:rPr>
        <w:t xml:space="preserve">, la stratégie d'aide humanitaire de la Belgique et les stratégies pays dans le cadre du premier contrat de gestion d'Enabel seront également consultées afin de garantir une cohérence optimale avec </w:t>
      </w:r>
      <w:r w:rsidR="005C3BFF">
        <w:rPr>
          <w:rFonts w:eastAsia="Times New Roman" w:cs="Times New Roman"/>
          <w:szCs w:val="22"/>
          <w:lang w:val="fr-BE"/>
        </w:rPr>
        <w:t>la présente</w:t>
      </w:r>
      <w:r w:rsidR="005C3BFF" w:rsidRPr="0062392F">
        <w:rPr>
          <w:rFonts w:eastAsia="Times New Roman" w:cs="Times New Roman"/>
          <w:szCs w:val="22"/>
          <w:lang w:val="fr-BE"/>
        </w:rPr>
        <w:t xml:space="preserve"> </w:t>
      </w:r>
      <w:r w:rsidR="0062392F" w:rsidRPr="0062392F">
        <w:rPr>
          <w:rFonts w:eastAsia="Times New Roman" w:cs="Times New Roman"/>
          <w:szCs w:val="22"/>
          <w:lang w:val="fr-BE"/>
        </w:rPr>
        <w:t xml:space="preserve">évaluation. </w:t>
      </w:r>
      <w:r w:rsidR="0062392F" w:rsidRPr="0062392F">
        <w:rPr>
          <w:rFonts w:eastAsia="Times New Roman" w:cs="Times New Roman"/>
          <w:color w:val="000000"/>
          <w:szCs w:val="22"/>
          <w:lang w:val="fr-BE"/>
        </w:rPr>
        <w:t>La cartographie aboutira à de premières constatations et hypothèses provisoires, qui devront être approfondies, de manière plus ciblée, au cours de la phase consacrée aux études de pays.</w:t>
      </w:r>
    </w:p>
    <w:p w14:paraId="4531F183" w14:textId="77777777" w:rsidR="0062392F" w:rsidRPr="0062392F" w:rsidRDefault="0062392F" w:rsidP="008F560C">
      <w:pPr>
        <w:spacing w:before="200" w:after="0" w:line="240" w:lineRule="auto"/>
        <w:jc w:val="both"/>
        <w:rPr>
          <w:rFonts w:eastAsia="Times New Roman" w:cs="Times New Roman"/>
          <w:szCs w:val="22"/>
          <w:lang w:val="fr-BE"/>
        </w:rPr>
      </w:pPr>
      <w:r w:rsidRPr="0062392F">
        <w:rPr>
          <w:rFonts w:eastAsia="Times New Roman" w:cs="Times New Roman"/>
          <w:szCs w:val="22"/>
          <w:lang w:val="fr-BE"/>
        </w:rPr>
        <w:t xml:space="preserve">La cartographie servira également de base pour sélectionner les interventions </w:t>
      </w:r>
      <w:r w:rsidRPr="0062392F">
        <w:rPr>
          <w:rFonts w:eastAsia="Times New Roman" w:cs="Times New Roman"/>
          <w:color w:val="000000"/>
          <w:szCs w:val="22"/>
          <w:lang w:val="fr-BE"/>
        </w:rPr>
        <w:t>qui seront évaluées dans le cadre des études de pays.</w:t>
      </w:r>
    </w:p>
    <w:p w14:paraId="280B0FC6" w14:textId="7FE46ADE" w:rsidR="0062392F" w:rsidRPr="0062392F" w:rsidRDefault="00543F3F" w:rsidP="00543F3F">
      <w:pPr>
        <w:pStyle w:val="Vade-mecumtitre2"/>
      </w:pPr>
      <w:bookmarkStart w:id="702" w:name="_Toc117603265"/>
      <w:r>
        <w:t>B7.</w:t>
      </w:r>
      <w:r w:rsidR="0062392F" w:rsidRPr="0062392F">
        <w:t>3</w:t>
      </w:r>
      <w:r>
        <w:t xml:space="preserve"> </w:t>
      </w:r>
      <w:r w:rsidR="0062392F" w:rsidRPr="0062392F">
        <w:t>Études de pays</w:t>
      </w:r>
      <w:bookmarkEnd w:id="702"/>
      <w:r w:rsidR="0062392F" w:rsidRPr="0062392F">
        <w:t xml:space="preserve"> </w:t>
      </w:r>
    </w:p>
    <w:p w14:paraId="4B68E8F5" w14:textId="77777777" w:rsidR="0062392F" w:rsidRPr="0062392F" w:rsidRDefault="0062392F" w:rsidP="008F560C">
      <w:pPr>
        <w:spacing w:before="200" w:after="0" w:line="240" w:lineRule="auto"/>
        <w:jc w:val="both"/>
        <w:rPr>
          <w:rFonts w:eastAsia="Times New Roman" w:cs="Times New Roman"/>
          <w:szCs w:val="22"/>
          <w:lang w:val="fr-BE"/>
        </w:rPr>
      </w:pPr>
      <w:r w:rsidRPr="0062392F">
        <w:rPr>
          <w:rFonts w:eastAsia="Times New Roman" w:cs="Times New Roman"/>
          <w:color w:val="000000"/>
          <w:szCs w:val="22"/>
          <w:lang w:val="fr-BE"/>
        </w:rPr>
        <w:t>Au cours de la phase consacrée aux études de pays, l’approche en matière de fragilité sera évaluée dans six pays partenaires, sur le terrain pour trois d'entre eux (RDC, Niger, Guinée), à distance pour les trois autres (Burundi, Mali, Burkina Faso).</w:t>
      </w:r>
    </w:p>
    <w:p w14:paraId="12BDEA87" w14:textId="7AD21528" w:rsidR="0062392F" w:rsidRPr="0062392F" w:rsidRDefault="0062392F" w:rsidP="008F560C">
      <w:pPr>
        <w:spacing w:before="200" w:after="0" w:line="240" w:lineRule="auto"/>
        <w:jc w:val="both"/>
        <w:rPr>
          <w:rFonts w:eastAsia="Times New Roman" w:cs="Times New Roman"/>
          <w:szCs w:val="22"/>
          <w:lang w:val="fr-BE"/>
        </w:rPr>
      </w:pPr>
      <w:r w:rsidRPr="0062392F">
        <w:rPr>
          <w:rFonts w:eastAsia="Times New Roman" w:cs="Times New Roman"/>
          <w:color w:val="000000"/>
          <w:szCs w:val="22"/>
          <w:lang w:val="fr-BE"/>
        </w:rPr>
        <w:t>Dans chacun de ces pays, les résultats d'environ six interventions feront également l'objet d'une évaluation, qui livrera ainsi une image concrète des résultats atteignables et atteints</w:t>
      </w:r>
      <w:r w:rsidR="00B408C9">
        <w:rPr>
          <w:rFonts w:eastAsia="Times New Roman" w:cs="Times New Roman"/>
          <w:color w:val="000000"/>
          <w:szCs w:val="22"/>
          <w:lang w:val="fr-BE"/>
        </w:rPr>
        <w:t xml:space="preserve"> ou</w:t>
      </w:r>
      <w:r w:rsidR="00CE685E">
        <w:rPr>
          <w:rFonts w:eastAsia="Times New Roman" w:cs="Times New Roman"/>
          <w:color w:val="000000"/>
          <w:szCs w:val="22"/>
          <w:lang w:val="fr-BE"/>
        </w:rPr>
        <w:t xml:space="preserve"> pas</w:t>
      </w:r>
      <w:r w:rsidRPr="0062392F">
        <w:rPr>
          <w:rFonts w:eastAsia="Times New Roman" w:cs="Times New Roman"/>
          <w:color w:val="000000"/>
          <w:szCs w:val="22"/>
          <w:lang w:val="fr-BE"/>
        </w:rPr>
        <w:t xml:space="preserve"> dans un contexte de fragilité.</w:t>
      </w:r>
    </w:p>
    <w:p w14:paraId="1ADB099F" w14:textId="77777777" w:rsidR="0062392F" w:rsidRPr="0062392F" w:rsidRDefault="0062392F" w:rsidP="008F560C">
      <w:pPr>
        <w:spacing w:before="200" w:after="0" w:line="240" w:lineRule="auto"/>
        <w:jc w:val="both"/>
        <w:rPr>
          <w:rFonts w:eastAsia="Times New Roman" w:cs="Times New Roman"/>
          <w:szCs w:val="22"/>
          <w:lang w:val="fr-BE"/>
        </w:rPr>
      </w:pPr>
      <w:r w:rsidRPr="0062392F">
        <w:rPr>
          <w:rFonts w:eastAsia="Times New Roman" w:cs="Times New Roman"/>
          <w:szCs w:val="22"/>
          <w:lang w:val="fr-BE"/>
        </w:rPr>
        <w:t>« Prendre le contexte comme point de départ » : conformément à ce principe, le point de départ de ces études de pays est une analyse en profondeur du contexte (fragile) des six pays partenaires concernés. Les analyses (Frame) existantes peuvent en faire partie mais doivent également être considérées avec un œil critique.</w:t>
      </w:r>
    </w:p>
    <w:p w14:paraId="600CE4AA" w14:textId="0CDD9627" w:rsidR="0062392F" w:rsidRPr="0062392F" w:rsidRDefault="0062392F" w:rsidP="008F560C">
      <w:pPr>
        <w:spacing w:before="200" w:after="0" w:line="240" w:lineRule="auto"/>
        <w:jc w:val="both"/>
        <w:rPr>
          <w:rFonts w:eastAsia="Times New Roman" w:cs="Times New Roman"/>
          <w:szCs w:val="22"/>
          <w:lang w:val="fr-BE"/>
        </w:rPr>
      </w:pPr>
      <w:r w:rsidRPr="0062392F">
        <w:rPr>
          <w:rFonts w:eastAsia="Times New Roman" w:cs="Times New Roman"/>
          <w:color w:val="000000"/>
          <w:szCs w:val="22"/>
          <w:lang w:val="fr-BE"/>
        </w:rPr>
        <w:t xml:space="preserve">Cette phase donnera lieu à la rédaction de six rapports, chacun s'appuyant sur les </w:t>
      </w:r>
      <w:r w:rsidR="00935FD2">
        <w:rPr>
          <w:rFonts w:eastAsia="Times New Roman" w:cs="Times New Roman"/>
          <w:color w:val="000000"/>
          <w:szCs w:val="22"/>
          <w:lang w:val="fr-BE"/>
        </w:rPr>
        <w:t>constats</w:t>
      </w:r>
      <w:r w:rsidR="00935FD2" w:rsidRPr="0062392F">
        <w:rPr>
          <w:rFonts w:eastAsia="Times New Roman" w:cs="Times New Roman"/>
          <w:color w:val="000000"/>
          <w:szCs w:val="22"/>
          <w:lang w:val="fr-BE"/>
        </w:rPr>
        <w:t xml:space="preserve"> </w:t>
      </w:r>
      <w:r w:rsidRPr="0062392F">
        <w:rPr>
          <w:rFonts w:eastAsia="Times New Roman" w:cs="Times New Roman"/>
          <w:color w:val="000000"/>
          <w:szCs w:val="22"/>
          <w:lang w:val="fr-BE"/>
        </w:rPr>
        <w:t>et les hypothèses des phases précédentes et fournissant les réponses aux questions d'évaluation dans le contexte spécifique du pays concerné.</w:t>
      </w:r>
    </w:p>
    <w:p w14:paraId="69AD27AB" w14:textId="77777777" w:rsidR="0062392F" w:rsidRPr="0062392F" w:rsidRDefault="0062392F" w:rsidP="008F560C">
      <w:pPr>
        <w:spacing w:before="200" w:after="0" w:line="240" w:lineRule="auto"/>
        <w:jc w:val="both"/>
        <w:rPr>
          <w:rFonts w:eastAsia="Times New Roman" w:cs="Times New Roman"/>
          <w:color w:val="000000"/>
          <w:szCs w:val="22"/>
          <w:lang w:val="fr-BE"/>
        </w:rPr>
      </w:pPr>
      <w:r w:rsidRPr="0062392F">
        <w:rPr>
          <w:rFonts w:eastAsia="Times New Roman" w:cs="Times New Roman"/>
          <w:color w:val="000000"/>
          <w:szCs w:val="22"/>
          <w:lang w:val="fr-BE"/>
        </w:rPr>
        <w:t xml:space="preserve">D'autres donateurs pertinents seront également consultés sur leur approche de la fragilité dans les trois pays partenaires concernés par les missions sur le terrain. </w:t>
      </w:r>
    </w:p>
    <w:p w14:paraId="32D7CA20" w14:textId="77777777" w:rsidR="0062392F" w:rsidRPr="0062392F" w:rsidRDefault="0062392F" w:rsidP="008F560C">
      <w:pPr>
        <w:spacing w:before="200" w:after="0" w:line="240" w:lineRule="auto"/>
        <w:jc w:val="both"/>
        <w:rPr>
          <w:rFonts w:eastAsia="Times New Roman" w:cs="Times New Roman"/>
          <w:szCs w:val="22"/>
          <w:lang w:val="fr-BE"/>
        </w:rPr>
      </w:pPr>
      <w:r w:rsidRPr="0062392F">
        <w:rPr>
          <w:rFonts w:eastAsia="Times New Roman" w:cs="Times New Roman"/>
          <w:color w:val="000000"/>
          <w:szCs w:val="22"/>
          <w:lang w:val="fr-BE"/>
        </w:rPr>
        <w:t>Dans les trois pays visités, une restitution avec les principales parties prenantes sera organisée au terme de la mission sur place.</w:t>
      </w:r>
      <w:r w:rsidRPr="0062392F">
        <w:rPr>
          <w:rFonts w:eastAsia="Times New Roman" w:cs="Times New Roman"/>
          <w:szCs w:val="22"/>
          <w:lang w:val="fr-BE"/>
        </w:rPr>
        <w:t xml:space="preserve"> Là encore, il s’agit d’appliquer </w:t>
      </w:r>
      <w:r w:rsidRPr="0062392F">
        <w:rPr>
          <w:rFonts w:eastAsia="Times New Roman" w:cs="Times New Roman"/>
          <w:color w:val="000000"/>
          <w:szCs w:val="22"/>
          <w:lang w:val="fr-BE"/>
        </w:rPr>
        <w:t>le principe « ne pas nuire », en tenant compte toutefois de toutes les sensibilités éventuelles.</w:t>
      </w:r>
    </w:p>
    <w:p w14:paraId="1B7202E5" w14:textId="77777777" w:rsidR="0062392F" w:rsidRPr="0062392F" w:rsidRDefault="0062392F" w:rsidP="008F560C">
      <w:pPr>
        <w:spacing w:before="200" w:after="0" w:line="240" w:lineRule="auto"/>
        <w:jc w:val="both"/>
        <w:rPr>
          <w:rFonts w:eastAsia="Times New Roman" w:cs="Times New Roman"/>
          <w:szCs w:val="22"/>
          <w:lang w:val="fr-BE"/>
        </w:rPr>
      </w:pPr>
      <w:r w:rsidRPr="0062392F">
        <w:rPr>
          <w:rFonts w:eastAsia="Times New Roman" w:cs="Times New Roman"/>
          <w:color w:val="000000"/>
          <w:szCs w:val="22"/>
          <w:lang w:val="fr-BE"/>
        </w:rPr>
        <w:t>Les trois autres études de cas par pays seront discutées au cours d'une réunion virtuelle</w:t>
      </w:r>
      <w:r w:rsidRPr="0062392F">
        <w:rPr>
          <w:rFonts w:eastAsia="Times New Roman" w:cs="Times New Roman"/>
          <w:szCs w:val="22"/>
          <w:lang w:val="fr-BE"/>
        </w:rPr>
        <w:t xml:space="preserve"> </w:t>
      </w:r>
      <w:r w:rsidRPr="0062392F">
        <w:rPr>
          <w:rFonts w:eastAsia="Times New Roman" w:cs="Times New Roman"/>
          <w:color w:val="000000"/>
          <w:szCs w:val="22"/>
          <w:lang w:val="fr-BE"/>
        </w:rPr>
        <w:t>à laquelle les acteurs du pays partenaire peuvent également être conviés.</w:t>
      </w:r>
    </w:p>
    <w:p w14:paraId="7FE5D9CA" w14:textId="77777777" w:rsidR="0062392F" w:rsidRPr="0062392F" w:rsidRDefault="0062392F" w:rsidP="008F560C">
      <w:pPr>
        <w:spacing w:before="200" w:after="0" w:line="240" w:lineRule="auto"/>
        <w:jc w:val="both"/>
        <w:rPr>
          <w:rFonts w:eastAsia="Times New Roman" w:cs="Times New Roman"/>
          <w:szCs w:val="22"/>
          <w:lang w:val="fr-BE"/>
        </w:rPr>
      </w:pPr>
      <w:r w:rsidRPr="0062392F">
        <w:rPr>
          <w:rFonts w:eastAsia="Times New Roman" w:cs="Times New Roman"/>
          <w:color w:val="000000"/>
          <w:szCs w:val="22"/>
          <w:lang w:val="fr-BE"/>
        </w:rPr>
        <w:t>Au cours de ces phases, il y a lieu de faire appel aussi bien à des experts de l'analyse contextuelle qu'à des experts/évaluateurs issus du pays partenaire même.</w:t>
      </w:r>
    </w:p>
    <w:p w14:paraId="2FE108FA" w14:textId="77777777" w:rsidR="0062392F" w:rsidRPr="0062392F" w:rsidRDefault="0062392F" w:rsidP="008F560C">
      <w:pPr>
        <w:spacing w:before="200" w:after="0" w:line="240" w:lineRule="auto"/>
        <w:jc w:val="both"/>
        <w:rPr>
          <w:rFonts w:eastAsia="Times New Roman" w:cs="Times New Roman"/>
          <w:szCs w:val="22"/>
          <w:lang w:val="fr-BE"/>
        </w:rPr>
      </w:pPr>
      <w:r w:rsidRPr="0062392F">
        <w:rPr>
          <w:rFonts w:eastAsia="Times New Roman" w:cs="Times New Roman"/>
          <w:color w:val="000000"/>
          <w:szCs w:val="22"/>
          <w:lang w:val="fr-BE"/>
        </w:rPr>
        <w:t>Les évaluateurs doivent ménager le temps nécessaire pour consulter suffisamment les parties prenantes lors des missions de terrain et évaluer en profondeur les interventions sélectionnées.</w:t>
      </w:r>
    </w:p>
    <w:p w14:paraId="67223C8E" w14:textId="34A13DAD" w:rsidR="0062392F" w:rsidRPr="0062392F" w:rsidRDefault="008F560C" w:rsidP="008F560C">
      <w:pPr>
        <w:pStyle w:val="Vade-mecumtitre2"/>
      </w:pPr>
      <w:bookmarkStart w:id="703" w:name="_Toc117603266"/>
      <w:r>
        <w:t>B7.</w:t>
      </w:r>
      <w:r w:rsidR="0062392F" w:rsidRPr="0062392F">
        <w:t>4</w:t>
      </w:r>
      <w:r>
        <w:t xml:space="preserve"> </w:t>
      </w:r>
      <w:r w:rsidR="0062392F" w:rsidRPr="0062392F">
        <w:t>Rapport final</w:t>
      </w:r>
      <w:bookmarkEnd w:id="703"/>
    </w:p>
    <w:p w14:paraId="2779F658" w14:textId="77777777" w:rsidR="0062392F" w:rsidRPr="0062392F" w:rsidRDefault="0062392F" w:rsidP="008F560C">
      <w:pPr>
        <w:spacing w:before="200" w:after="0" w:line="240" w:lineRule="auto"/>
        <w:jc w:val="both"/>
        <w:rPr>
          <w:rFonts w:eastAsia="Times New Roman" w:cs="Times New Roman"/>
          <w:szCs w:val="22"/>
          <w:lang w:val="fr-BE"/>
        </w:rPr>
      </w:pPr>
      <w:r w:rsidRPr="0062392F">
        <w:rPr>
          <w:rFonts w:eastAsia="Times New Roman" w:cs="Times New Roman"/>
          <w:color w:val="000000"/>
          <w:szCs w:val="22"/>
          <w:lang w:val="fr-BE"/>
        </w:rPr>
        <w:t>Sur la base de la cartographie et des études de pays, les évaluateurs formuleront leurs conclusions ainsi qu’une ébauche de recommandations.</w:t>
      </w:r>
    </w:p>
    <w:p w14:paraId="0CEC50E2" w14:textId="322418A9" w:rsidR="0062392F" w:rsidRPr="0062392F" w:rsidRDefault="0062392F" w:rsidP="008F560C">
      <w:pPr>
        <w:spacing w:before="200" w:after="0" w:line="240" w:lineRule="auto"/>
        <w:jc w:val="both"/>
        <w:rPr>
          <w:rFonts w:eastAsia="Times New Roman" w:cs="Times New Roman"/>
          <w:color w:val="000000"/>
          <w:szCs w:val="22"/>
          <w:lang w:val="fr-BE"/>
        </w:rPr>
      </w:pPr>
      <w:r w:rsidRPr="0062392F">
        <w:rPr>
          <w:rFonts w:eastAsia="Times New Roman" w:cs="Times New Roman"/>
          <w:color w:val="000000"/>
          <w:szCs w:val="22"/>
          <w:lang w:val="fr-BE"/>
        </w:rPr>
        <w:t xml:space="preserve">Au vu du caractère formatif de l’évaluation, cette première ébauche de recommandations sera ensuite </w:t>
      </w:r>
      <w:r w:rsidR="00A43341">
        <w:rPr>
          <w:rFonts w:eastAsia="Times New Roman" w:cs="Times New Roman"/>
          <w:color w:val="000000"/>
          <w:szCs w:val="22"/>
          <w:lang w:val="fr-BE"/>
        </w:rPr>
        <w:t>affinée</w:t>
      </w:r>
      <w:r w:rsidRPr="0062392F">
        <w:rPr>
          <w:rFonts w:eastAsia="Times New Roman" w:cs="Times New Roman"/>
          <w:color w:val="000000"/>
          <w:szCs w:val="22"/>
          <w:lang w:val="fr-BE"/>
        </w:rPr>
        <w:t xml:space="preserve"> et son réalisme examiné lors d'un atelier avec les principales parties prenantes.</w:t>
      </w:r>
      <w:r w:rsidRPr="0062392F">
        <w:rPr>
          <w:rFonts w:eastAsia="Times New Roman" w:cs="Times New Roman"/>
          <w:szCs w:val="22"/>
          <w:lang w:val="fr-BE"/>
        </w:rPr>
        <w:t xml:space="preserve"> </w:t>
      </w:r>
      <w:r w:rsidR="00ED4762">
        <w:rPr>
          <w:rFonts w:eastAsia="Times New Roman" w:cs="Times New Roman"/>
          <w:szCs w:val="22"/>
          <w:lang w:val="fr-BE"/>
        </w:rPr>
        <w:t>Cependant, l</w:t>
      </w:r>
      <w:r w:rsidRPr="0062392F">
        <w:rPr>
          <w:rFonts w:eastAsia="Times New Roman" w:cs="Times New Roman"/>
          <w:color w:val="000000"/>
          <w:szCs w:val="22"/>
          <w:lang w:val="fr-BE"/>
        </w:rPr>
        <w:t>es évaluateurs indépendants resteront les auteurs des conclusions et recommandations finales.</w:t>
      </w:r>
    </w:p>
    <w:p w14:paraId="325C4EDC" w14:textId="5CDCD435" w:rsidR="0062392F" w:rsidRPr="0062392F" w:rsidRDefault="008F560C" w:rsidP="008F560C">
      <w:pPr>
        <w:pStyle w:val="Vade-mecumtitre2"/>
      </w:pPr>
      <w:bookmarkStart w:id="704" w:name="_Toc117603267"/>
      <w:r>
        <w:t xml:space="preserve">B7.5 </w:t>
      </w:r>
      <w:r w:rsidR="0062392F" w:rsidRPr="0062392F">
        <w:t>Restitution</w:t>
      </w:r>
      <w:bookmarkEnd w:id="704"/>
    </w:p>
    <w:p w14:paraId="1A4A1C99" w14:textId="77777777" w:rsidR="0062392F" w:rsidRPr="0062392F" w:rsidRDefault="0062392F" w:rsidP="008F560C">
      <w:pPr>
        <w:spacing w:before="200" w:after="0" w:line="240" w:lineRule="auto"/>
        <w:jc w:val="both"/>
        <w:rPr>
          <w:rFonts w:eastAsia="Times New Roman" w:cs="Times New Roman"/>
          <w:szCs w:val="22"/>
          <w:lang w:val="fr-BE"/>
        </w:rPr>
      </w:pPr>
      <w:r w:rsidRPr="0062392F">
        <w:rPr>
          <w:rFonts w:eastAsia="Times New Roman" w:cs="Times New Roman"/>
          <w:szCs w:val="22"/>
          <w:lang w:val="fr-BE"/>
        </w:rPr>
        <w:t>Après l'approbation du rapport final, le processus d'évaluation se terminera par une présentation publique des principales conclusions et recommandations.</w:t>
      </w:r>
    </w:p>
    <w:p w14:paraId="67721058" w14:textId="72727366" w:rsidR="00852C90" w:rsidRPr="000C7644" w:rsidRDefault="00852C90" w:rsidP="007F7062">
      <w:pPr>
        <w:pStyle w:val="Vade-mecumtitre1"/>
        <w:numPr>
          <w:ilvl w:val="0"/>
          <w:numId w:val="0"/>
        </w:numPr>
        <w:ind w:left="432" w:hanging="432"/>
        <w:rPr>
          <w:lang w:val="fr-BE"/>
        </w:rPr>
      </w:pPr>
      <w:bookmarkStart w:id="705" w:name="_Toc35550154"/>
      <w:bookmarkStart w:id="706" w:name="_Toc117603268"/>
      <w:r w:rsidRPr="000C7644">
        <w:rPr>
          <w:lang w:val="fr-BE"/>
        </w:rPr>
        <w:t>B</w:t>
      </w:r>
      <w:r w:rsidR="008F560C" w:rsidRPr="000C7644">
        <w:rPr>
          <w:lang w:val="fr-BE"/>
        </w:rPr>
        <w:t>8</w:t>
      </w:r>
      <w:r w:rsidRPr="000C7644">
        <w:rPr>
          <w:lang w:val="fr-BE"/>
        </w:rPr>
        <w:t xml:space="preserve">. </w:t>
      </w:r>
      <w:bookmarkEnd w:id="698"/>
      <w:bookmarkEnd w:id="699"/>
      <w:bookmarkEnd w:id="700"/>
      <w:bookmarkEnd w:id="705"/>
      <w:r w:rsidR="000C7644" w:rsidRPr="000C7644">
        <w:rPr>
          <w:lang w:val="fr-BE"/>
        </w:rPr>
        <w:t>Calend</w:t>
      </w:r>
      <w:r w:rsidR="000C7644">
        <w:rPr>
          <w:lang w:val="fr-BE"/>
        </w:rPr>
        <w:t>r</w:t>
      </w:r>
      <w:r w:rsidR="000C7644" w:rsidRPr="000C7644">
        <w:rPr>
          <w:lang w:val="fr-BE"/>
        </w:rPr>
        <w:t>ier</w:t>
      </w:r>
      <w:bookmarkEnd w:id="706"/>
    </w:p>
    <w:p w14:paraId="5665481A" w14:textId="6AC7158E" w:rsidR="000C7644" w:rsidRPr="000C7644" w:rsidRDefault="000C7644" w:rsidP="000C7644">
      <w:pPr>
        <w:snapToGrid w:val="0"/>
        <w:spacing w:after="120" w:line="240" w:lineRule="auto"/>
        <w:jc w:val="both"/>
        <w:rPr>
          <w:lang w:val="fr-BE"/>
        </w:rPr>
      </w:pPr>
      <w:r w:rsidRPr="000C7644">
        <w:rPr>
          <w:lang w:val="fr-BE"/>
        </w:rPr>
        <w:t>•</w:t>
      </w:r>
      <w:r w:rsidRPr="000C7644">
        <w:rPr>
          <w:lang w:val="fr-BE"/>
        </w:rPr>
        <w:tab/>
        <w:t xml:space="preserve">Lancement : </w:t>
      </w:r>
      <w:r w:rsidRPr="000C7644">
        <w:rPr>
          <w:lang w:val="fr-BE"/>
        </w:rPr>
        <w:tab/>
      </w:r>
      <w:r w:rsidRPr="000C7644">
        <w:rPr>
          <w:lang w:val="fr-BE"/>
        </w:rPr>
        <w:tab/>
      </w:r>
      <w:r w:rsidRPr="000C7644">
        <w:rPr>
          <w:lang w:val="fr-BE"/>
        </w:rPr>
        <w:tab/>
      </w:r>
      <w:r w:rsidRPr="000C7644">
        <w:rPr>
          <w:lang w:val="fr-BE"/>
        </w:rPr>
        <w:tab/>
      </w:r>
      <w:r w:rsidRPr="000C7644">
        <w:rPr>
          <w:lang w:val="fr-BE"/>
        </w:rPr>
        <w:tab/>
        <w:t>janvier 2023</w:t>
      </w:r>
    </w:p>
    <w:p w14:paraId="068BED5B" w14:textId="651FCCFC" w:rsidR="000C7644" w:rsidRPr="000C7644" w:rsidRDefault="000C7644" w:rsidP="000C7644">
      <w:pPr>
        <w:snapToGrid w:val="0"/>
        <w:spacing w:after="120" w:line="240" w:lineRule="auto"/>
        <w:jc w:val="both"/>
        <w:rPr>
          <w:lang w:val="fr-BE"/>
        </w:rPr>
      </w:pPr>
      <w:r w:rsidRPr="000C7644">
        <w:rPr>
          <w:lang w:val="fr-BE"/>
        </w:rPr>
        <w:t>•</w:t>
      </w:r>
      <w:r w:rsidRPr="000C7644">
        <w:rPr>
          <w:lang w:val="fr-BE"/>
        </w:rPr>
        <w:tab/>
        <w:t>Note méthodologique :</w:t>
      </w:r>
      <w:r w:rsidRPr="000C7644">
        <w:rPr>
          <w:lang w:val="fr-BE"/>
        </w:rPr>
        <w:tab/>
      </w:r>
      <w:r w:rsidRPr="000C7644">
        <w:rPr>
          <w:lang w:val="fr-BE"/>
        </w:rPr>
        <w:tab/>
      </w:r>
      <w:r w:rsidRPr="000C7644">
        <w:rPr>
          <w:lang w:val="fr-BE"/>
        </w:rPr>
        <w:tab/>
        <w:t>février 2023</w:t>
      </w:r>
    </w:p>
    <w:p w14:paraId="411D82B7" w14:textId="77777777" w:rsidR="000C7644" w:rsidRPr="000C7644" w:rsidRDefault="000C7644" w:rsidP="000C7644">
      <w:pPr>
        <w:snapToGrid w:val="0"/>
        <w:spacing w:after="120" w:line="240" w:lineRule="auto"/>
        <w:jc w:val="both"/>
        <w:rPr>
          <w:lang w:val="fr-BE"/>
        </w:rPr>
      </w:pPr>
      <w:r w:rsidRPr="000C7644">
        <w:rPr>
          <w:lang w:val="fr-BE"/>
        </w:rPr>
        <w:t>•</w:t>
      </w:r>
      <w:r w:rsidRPr="000C7644">
        <w:rPr>
          <w:lang w:val="fr-BE"/>
        </w:rPr>
        <w:tab/>
        <w:t xml:space="preserve">Cartographie : </w:t>
      </w:r>
      <w:r w:rsidRPr="000C7644">
        <w:rPr>
          <w:lang w:val="fr-BE"/>
        </w:rPr>
        <w:tab/>
      </w:r>
      <w:r w:rsidRPr="000C7644">
        <w:rPr>
          <w:lang w:val="fr-BE"/>
        </w:rPr>
        <w:tab/>
      </w:r>
      <w:r w:rsidRPr="000C7644">
        <w:rPr>
          <w:lang w:val="fr-BE"/>
        </w:rPr>
        <w:tab/>
      </w:r>
      <w:r w:rsidRPr="000C7644">
        <w:rPr>
          <w:lang w:val="fr-BE"/>
        </w:rPr>
        <w:tab/>
      </w:r>
      <w:r w:rsidRPr="000C7644">
        <w:rPr>
          <w:lang w:val="fr-BE"/>
        </w:rPr>
        <w:tab/>
        <w:t>avril 2023</w:t>
      </w:r>
    </w:p>
    <w:p w14:paraId="242C8B56" w14:textId="74C46262" w:rsidR="000C7644" w:rsidRPr="000C7644" w:rsidRDefault="000C7644" w:rsidP="000C7644">
      <w:pPr>
        <w:snapToGrid w:val="0"/>
        <w:spacing w:after="120" w:line="240" w:lineRule="auto"/>
        <w:jc w:val="both"/>
        <w:rPr>
          <w:lang w:val="fr-BE"/>
        </w:rPr>
      </w:pPr>
      <w:r w:rsidRPr="000C7644">
        <w:rPr>
          <w:lang w:val="fr-BE"/>
        </w:rPr>
        <w:t>•</w:t>
      </w:r>
      <w:r w:rsidRPr="000C7644">
        <w:rPr>
          <w:lang w:val="fr-BE"/>
        </w:rPr>
        <w:tab/>
        <w:t xml:space="preserve">Études de pays : </w:t>
      </w:r>
      <w:r w:rsidRPr="000C7644">
        <w:rPr>
          <w:lang w:val="fr-BE"/>
        </w:rPr>
        <w:tab/>
      </w:r>
      <w:r w:rsidRPr="000C7644">
        <w:rPr>
          <w:lang w:val="fr-BE"/>
        </w:rPr>
        <w:tab/>
      </w:r>
      <w:r w:rsidRPr="000C7644">
        <w:rPr>
          <w:lang w:val="fr-BE"/>
        </w:rPr>
        <w:tab/>
      </w:r>
      <w:r w:rsidRPr="000C7644">
        <w:rPr>
          <w:lang w:val="fr-BE"/>
        </w:rPr>
        <w:tab/>
        <w:t xml:space="preserve">avril - </w:t>
      </w:r>
      <w:r w:rsidR="00953511">
        <w:rPr>
          <w:lang w:val="fr-BE"/>
        </w:rPr>
        <w:t>juillet</w:t>
      </w:r>
      <w:r w:rsidRPr="000C7644">
        <w:rPr>
          <w:lang w:val="fr-BE"/>
        </w:rPr>
        <w:t xml:space="preserve"> 2023</w:t>
      </w:r>
    </w:p>
    <w:p w14:paraId="5BEA2873" w14:textId="0499C857" w:rsidR="000C7644" w:rsidRPr="000C7644" w:rsidRDefault="000C7644" w:rsidP="000C7644">
      <w:pPr>
        <w:snapToGrid w:val="0"/>
        <w:spacing w:after="120" w:line="240" w:lineRule="auto"/>
        <w:jc w:val="both"/>
        <w:rPr>
          <w:lang w:val="fr-BE"/>
        </w:rPr>
      </w:pPr>
      <w:r w:rsidRPr="000C7644">
        <w:rPr>
          <w:lang w:val="fr-BE"/>
        </w:rPr>
        <w:t>•</w:t>
      </w:r>
      <w:r w:rsidRPr="000C7644">
        <w:rPr>
          <w:lang w:val="fr-BE"/>
        </w:rPr>
        <w:tab/>
        <w:t xml:space="preserve">Première ébauche du rapport final + atelier : </w:t>
      </w:r>
      <w:r w:rsidRPr="000C7644">
        <w:rPr>
          <w:lang w:val="fr-BE"/>
        </w:rPr>
        <w:tab/>
      </w:r>
      <w:r w:rsidR="00953511">
        <w:rPr>
          <w:lang w:val="fr-BE"/>
        </w:rPr>
        <w:t>ao</w:t>
      </w:r>
      <w:r w:rsidR="00D7241A">
        <w:rPr>
          <w:lang w:val="fr-BE"/>
        </w:rPr>
        <w:t>û</w:t>
      </w:r>
      <w:r w:rsidR="00953511">
        <w:rPr>
          <w:lang w:val="fr-BE"/>
        </w:rPr>
        <w:t>t</w:t>
      </w:r>
      <w:r>
        <w:rPr>
          <w:lang w:val="fr-BE"/>
        </w:rPr>
        <w:t xml:space="preserve"> - </w:t>
      </w:r>
      <w:r w:rsidR="00D7241A">
        <w:rPr>
          <w:lang w:val="fr-BE"/>
        </w:rPr>
        <w:t>septembre</w:t>
      </w:r>
      <w:r w:rsidRPr="000C7644">
        <w:rPr>
          <w:lang w:val="fr-BE"/>
        </w:rPr>
        <w:t xml:space="preserve"> 2023</w:t>
      </w:r>
    </w:p>
    <w:p w14:paraId="411EA52F" w14:textId="29854FE5" w:rsidR="000C7644" w:rsidRPr="000C7644" w:rsidRDefault="000C7644" w:rsidP="000C7644">
      <w:pPr>
        <w:snapToGrid w:val="0"/>
        <w:spacing w:after="120" w:line="240" w:lineRule="auto"/>
        <w:jc w:val="both"/>
        <w:rPr>
          <w:lang w:val="fr-BE"/>
        </w:rPr>
      </w:pPr>
      <w:r w:rsidRPr="000C7644">
        <w:rPr>
          <w:lang w:val="fr-BE"/>
        </w:rPr>
        <w:t>•</w:t>
      </w:r>
      <w:r w:rsidRPr="000C7644">
        <w:rPr>
          <w:lang w:val="fr-BE"/>
        </w:rPr>
        <w:tab/>
        <w:t>Rapport final :</w:t>
      </w:r>
      <w:r w:rsidRPr="000C7644">
        <w:rPr>
          <w:lang w:val="fr-BE"/>
        </w:rPr>
        <w:tab/>
      </w:r>
      <w:r w:rsidRPr="000C7644">
        <w:rPr>
          <w:lang w:val="fr-BE"/>
        </w:rPr>
        <w:tab/>
      </w:r>
      <w:r w:rsidRPr="000C7644">
        <w:rPr>
          <w:lang w:val="fr-BE"/>
        </w:rPr>
        <w:tab/>
      </w:r>
      <w:r w:rsidRPr="000C7644">
        <w:rPr>
          <w:lang w:val="fr-BE"/>
        </w:rPr>
        <w:tab/>
      </w:r>
      <w:r w:rsidRPr="000C7644">
        <w:rPr>
          <w:lang w:val="fr-BE"/>
        </w:rPr>
        <w:tab/>
      </w:r>
      <w:r w:rsidR="00B314C3">
        <w:rPr>
          <w:lang w:val="fr-BE"/>
        </w:rPr>
        <w:t>octobre</w:t>
      </w:r>
      <w:r w:rsidRPr="000C7644">
        <w:rPr>
          <w:lang w:val="fr-BE"/>
        </w:rPr>
        <w:t xml:space="preserve"> 2023</w:t>
      </w:r>
    </w:p>
    <w:p w14:paraId="33C7F8A9" w14:textId="219796F8" w:rsidR="00852C90" w:rsidRDefault="000C7644" w:rsidP="000C7644">
      <w:pPr>
        <w:snapToGrid w:val="0"/>
        <w:spacing w:after="120" w:line="240" w:lineRule="auto"/>
        <w:jc w:val="both"/>
        <w:rPr>
          <w:lang w:val="fr-BE"/>
        </w:rPr>
      </w:pPr>
      <w:r w:rsidRPr="000C7644">
        <w:rPr>
          <w:lang w:val="fr-BE"/>
        </w:rPr>
        <w:t>•</w:t>
      </w:r>
      <w:r w:rsidRPr="000C7644">
        <w:rPr>
          <w:lang w:val="fr-BE"/>
        </w:rPr>
        <w:tab/>
        <w:t xml:space="preserve">Restitution : </w:t>
      </w:r>
      <w:r w:rsidRPr="000C7644">
        <w:rPr>
          <w:lang w:val="fr-BE"/>
        </w:rPr>
        <w:tab/>
      </w:r>
      <w:r w:rsidRPr="000C7644">
        <w:rPr>
          <w:lang w:val="fr-BE"/>
        </w:rPr>
        <w:tab/>
      </w:r>
      <w:r w:rsidRPr="000C7644">
        <w:rPr>
          <w:lang w:val="fr-BE"/>
        </w:rPr>
        <w:tab/>
      </w:r>
      <w:r w:rsidRPr="000C7644">
        <w:rPr>
          <w:lang w:val="fr-BE"/>
        </w:rPr>
        <w:tab/>
      </w:r>
      <w:r w:rsidRPr="000C7644">
        <w:rPr>
          <w:lang w:val="fr-BE"/>
        </w:rPr>
        <w:tab/>
      </w:r>
      <w:r w:rsidR="00B314C3">
        <w:rPr>
          <w:lang w:val="fr-BE"/>
        </w:rPr>
        <w:t>novembre</w:t>
      </w:r>
      <w:r w:rsidRPr="000C7644">
        <w:rPr>
          <w:lang w:val="fr-BE"/>
        </w:rPr>
        <w:t xml:space="preserve"> 2023</w:t>
      </w:r>
    </w:p>
    <w:p w14:paraId="4F876BC1" w14:textId="2E430948" w:rsidR="00067B1E" w:rsidRDefault="00067B1E" w:rsidP="000C7644">
      <w:pPr>
        <w:snapToGrid w:val="0"/>
        <w:spacing w:after="120" w:line="240" w:lineRule="auto"/>
        <w:jc w:val="both"/>
        <w:rPr>
          <w:lang w:val="fr-BE"/>
        </w:rPr>
      </w:pPr>
    </w:p>
    <w:p w14:paraId="5CC7D4B0" w14:textId="2D036B04" w:rsidR="00067B1E" w:rsidRDefault="00067B1E" w:rsidP="000C7644">
      <w:pPr>
        <w:snapToGrid w:val="0"/>
        <w:spacing w:after="120" w:line="240" w:lineRule="auto"/>
        <w:jc w:val="both"/>
        <w:rPr>
          <w:lang w:val="fr-BE"/>
        </w:rPr>
      </w:pPr>
    </w:p>
    <w:p w14:paraId="772D3A50" w14:textId="785FEB05" w:rsidR="00067B1E" w:rsidRDefault="00067B1E" w:rsidP="000C7644">
      <w:pPr>
        <w:snapToGrid w:val="0"/>
        <w:spacing w:after="120" w:line="240" w:lineRule="auto"/>
        <w:jc w:val="both"/>
        <w:rPr>
          <w:lang w:val="fr-BE"/>
        </w:rPr>
      </w:pPr>
    </w:p>
    <w:p w14:paraId="12C81C66" w14:textId="77777777" w:rsidR="00067B1E" w:rsidRPr="000C7644" w:rsidRDefault="00067B1E" w:rsidP="000C7644">
      <w:pPr>
        <w:snapToGrid w:val="0"/>
        <w:spacing w:after="120" w:line="240" w:lineRule="auto"/>
        <w:jc w:val="both"/>
        <w:rPr>
          <w:lang w:val="fr-BE"/>
        </w:rPr>
      </w:pPr>
    </w:p>
    <w:p w14:paraId="0F3083BC" w14:textId="3F480F40" w:rsidR="000C7644" w:rsidRPr="00D437A1" w:rsidRDefault="00E85F20" w:rsidP="00E85F20">
      <w:pPr>
        <w:pStyle w:val="Vade-mecumtitre1"/>
        <w:numPr>
          <w:ilvl w:val="0"/>
          <w:numId w:val="0"/>
        </w:numPr>
        <w:ind w:left="432" w:hanging="432"/>
        <w:rPr>
          <w:lang w:val="fr-BE"/>
        </w:rPr>
      </w:pPr>
      <w:bookmarkStart w:id="707" w:name="_Toc117603269"/>
      <w:r w:rsidRPr="00D437A1">
        <w:rPr>
          <w:lang w:val="fr-BE"/>
        </w:rPr>
        <w:t>B.9 Rôles et responsabilités de l'équipe d'évaluation</w:t>
      </w:r>
      <w:bookmarkEnd w:id="707"/>
    </w:p>
    <w:p w14:paraId="719144F0" w14:textId="4E5D4512" w:rsidR="00852C90" w:rsidRPr="00AE154F" w:rsidRDefault="004936E3" w:rsidP="00AE154F">
      <w:pPr>
        <w:pStyle w:val="Vade-mecumtitre2"/>
      </w:pPr>
      <w:bookmarkStart w:id="708" w:name="_Toc114066801"/>
      <w:bookmarkStart w:id="709" w:name="_Toc116387798"/>
      <w:bookmarkStart w:id="710" w:name="_Toc117603270"/>
      <w:r w:rsidRPr="00AE154F">
        <w:t xml:space="preserve">B9.1 </w:t>
      </w:r>
      <w:bookmarkEnd w:id="708"/>
      <w:bookmarkEnd w:id="709"/>
      <w:r w:rsidR="00AE154F" w:rsidRPr="00AE154F">
        <w:t>Expertise et expérience requises</w:t>
      </w:r>
      <w:bookmarkEnd w:id="710"/>
      <w:r w:rsidR="00AE154F" w:rsidRPr="00AE154F">
        <w:t xml:space="preserve">  </w:t>
      </w:r>
    </w:p>
    <w:p w14:paraId="5C148607" w14:textId="0DB77264" w:rsidR="005609AA" w:rsidRPr="00A92388" w:rsidRDefault="005609AA" w:rsidP="005609AA">
      <w:pPr>
        <w:snapToGrid w:val="0"/>
        <w:spacing w:after="120" w:line="240" w:lineRule="auto"/>
        <w:jc w:val="both"/>
        <w:rPr>
          <w:lang w:val="fr-BE"/>
        </w:rPr>
      </w:pPr>
      <w:r w:rsidRPr="00A92388">
        <w:rPr>
          <w:lang w:val="fr-BE"/>
        </w:rPr>
        <w:t xml:space="preserve">L’équipe d’évaluation doit réunir l'expertise et l'expérience suffisantes dans les domaines suivants : </w:t>
      </w:r>
    </w:p>
    <w:p w14:paraId="33F59AFF" w14:textId="43D90BEB" w:rsidR="00A92388" w:rsidRDefault="005609AA" w:rsidP="00A92388">
      <w:pPr>
        <w:pStyle w:val="ListParagraph"/>
        <w:numPr>
          <w:ilvl w:val="0"/>
          <w:numId w:val="38"/>
        </w:numPr>
        <w:snapToGrid w:val="0"/>
        <w:spacing w:after="120" w:line="240" w:lineRule="auto"/>
        <w:jc w:val="both"/>
        <w:rPr>
          <w:lang w:val="fr-BE"/>
        </w:rPr>
      </w:pPr>
      <w:r w:rsidRPr="3586E409">
        <w:rPr>
          <w:lang w:val="fr-BE"/>
        </w:rPr>
        <w:t xml:space="preserve">Contexte de développement et de fragilité </w:t>
      </w:r>
      <w:r w:rsidR="00573C38">
        <w:rPr>
          <w:lang w:val="fr-BE"/>
        </w:rPr>
        <w:t xml:space="preserve">en général </w:t>
      </w:r>
      <w:r w:rsidR="00C9554F">
        <w:rPr>
          <w:lang w:val="fr-BE"/>
        </w:rPr>
        <w:t xml:space="preserve">et en particulier </w:t>
      </w:r>
      <w:r w:rsidRPr="3586E409">
        <w:rPr>
          <w:lang w:val="fr-BE"/>
        </w:rPr>
        <w:t>dans les pays proposés pour cette évaluation ;</w:t>
      </w:r>
    </w:p>
    <w:p w14:paraId="30ECC0E2" w14:textId="1BD7A14F" w:rsidR="00A92388" w:rsidRPr="00FB31E0" w:rsidRDefault="005609AA" w:rsidP="00FB31E0">
      <w:pPr>
        <w:pStyle w:val="ListParagraph"/>
        <w:numPr>
          <w:ilvl w:val="0"/>
          <w:numId w:val="38"/>
        </w:numPr>
        <w:snapToGrid w:val="0"/>
        <w:spacing w:after="120" w:line="240" w:lineRule="auto"/>
        <w:jc w:val="both"/>
        <w:rPr>
          <w:lang w:val="fr-BE"/>
        </w:rPr>
      </w:pPr>
      <w:r w:rsidRPr="3586E409">
        <w:rPr>
          <w:lang w:val="fr-BE"/>
        </w:rPr>
        <w:t>Méthodologie d'évaluation et approche sur des territoires complexes ;</w:t>
      </w:r>
    </w:p>
    <w:p w14:paraId="461EF302" w14:textId="3851C84E" w:rsidR="00A92388" w:rsidRDefault="005609AA" w:rsidP="005609AA">
      <w:pPr>
        <w:pStyle w:val="ListParagraph"/>
        <w:numPr>
          <w:ilvl w:val="0"/>
          <w:numId w:val="38"/>
        </w:numPr>
        <w:snapToGrid w:val="0"/>
        <w:spacing w:after="120" w:line="240" w:lineRule="auto"/>
        <w:jc w:val="both"/>
        <w:rPr>
          <w:lang w:val="fr-BE"/>
        </w:rPr>
      </w:pPr>
      <w:r w:rsidRPr="3586E409">
        <w:rPr>
          <w:lang w:val="fr-BE"/>
        </w:rPr>
        <w:t>Connaissance du système institutionnel belge</w:t>
      </w:r>
      <w:r w:rsidR="0068010F">
        <w:rPr>
          <w:lang w:val="fr-BE"/>
        </w:rPr>
        <w:t xml:space="preserve"> </w:t>
      </w:r>
      <w:r w:rsidR="00FF21B4">
        <w:rPr>
          <w:lang w:val="fr-BE"/>
        </w:rPr>
        <w:t>de la coopération au développement et l</w:t>
      </w:r>
      <w:r w:rsidR="007F2974">
        <w:rPr>
          <w:lang w:val="fr-BE"/>
        </w:rPr>
        <w:t xml:space="preserve">a politique </w:t>
      </w:r>
      <w:r w:rsidR="00EC696C">
        <w:rPr>
          <w:lang w:val="fr-BE"/>
        </w:rPr>
        <w:t>étrangère</w:t>
      </w:r>
      <w:r w:rsidR="00A9109A">
        <w:rPr>
          <w:lang w:val="fr-BE"/>
        </w:rPr>
        <w:t> ;</w:t>
      </w:r>
    </w:p>
    <w:p w14:paraId="4DCCE3EA" w14:textId="6FF9B40A" w:rsidR="00A92388" w:rsidRDefault="005609AA" w:rsidP="005609AA">
      <w:pPr>
        <w:pStyle w:val="ListParagraph"/>
        <w:numPr>
          <w:ilvl w:val="0"/>
          <w:numId w:val="38"/>
        </w:numPr>
        <w:snapToGrid w:val="0"/>
        <w:spacing w:after="120" w:line="240" w:lineRule="auto"/>
        <w:jc w:val="both"/>
        <w:rPr>
          <w:lang w:val="fr-BE"/>
        </w:rPr>
      </w:pPr>
      <w:r w:rsidRPr="3586E409">
        <w:rPr>
          <w:lang w:val="fr-BE"/>
        </w:rPr>
        <w:t>Connaissance des défis internationaux en lien avec la fragilité</w:t>
      </w:r>
      <w:r w:rsidR="00A9109A">
        <w:rPr>
          <w:lang w:val="fr-BE"/>
        </w:rPr>
        <w:t> ;</w:t>
      </w:r>
    </w:p>
    <w:p w14:paraId="62B01CAA" w14:textId="2A42A79F" w:rsidR="00852C90" w:rsidRPr="00A92388" w:rsidRDefault="005609AA" w:rsidP="005609AA">
      <w:pPr>
        <w:pStyle w:val="ListParagraph"/>
        <w:numPr>
          <w:ilvl w:val="0"/>
          <w:numId w:val="38"/>
        </w:numPr>
        <w:snapToGrid w:val="0"/>
        <w:spacing w:after="120" w:line="240" w:lineRule="auto"/>
        <w:jc w:val="both"/>
        <w:rPr>
          <w:lang w:val="fr-BE"/>
        </w:rPr>
      </w:pPr>
      <w:r w:rsidRPr="3586E409">
        <w:rPr>
          <w:lang w:val="fr-BE"/>
        </w:rPr>
        <w:t>Expertise en matière d'analyse contextuelle</w:t>
      </w:r>
      <w:r w:rsidR="00A9109A">
        <w:rPr>
          <w:lang w:val="fr-BE"/>
        </w:rPr>
        <w:t>.</w:t>
      </w:r>
    </w:p>
    <w:p w14:paraId="19489A93" w14:textId="7780B3F3" w:rsidR="00852C90" w:rsidRPr="00852C90" w:rsidRDefault="004936E3" w:rsidP="00A6330B">
      <w:pPr>
        <w:pStyle w:val="Vade-mecumtitre2"/>
      </w:pPr>
      <w:bookmarkStart w:id="711" w:name="_Toc116387799"/>
      <w:bookmarkStart w:id="712" w:name="_Toc117603271"/>
      <w:r w:rsidRPr="00D437A1">
        <w:t xml:space="preserve">B9.2 </w:t>
      </w:r>
      <w:bookmarkEnd w:id="711"/>
      <w:r w:rsidR="00A6330B" w:rsidRPr="00D437A1">
        <w:t>Compétences</w:t>
      </w:r>
      <w:r w:rsidR="00A6330B" w:rsidRPr="00A6330B">
        <w:t xml:space="preserve"> linguistiques requises</w:t>
      </w:r>
      <w:bookmarkEnd w:id="712"/>
      <w:r w:rsidR="00A6330B" w:rsidRPr="00A6330B">
        <w:t xml:space="preserve">  </w:t>
      </w:r>
    </w:p>
    <w:p w14:paraId="72B30A95" w14:textId="08F9FF2F" w:rsidR="00852C90" w:rsidRPr="00D437A1" w:rsidRDefault="00D437A1" w:rsidP="00852C90">
      <w:pPr>
        <w:snapToGrid w:val="0"/>
        <w:spacing w:after="120" w:line="240" w:lineRule="auto"/>
        <w:jc w:val="both"/>
        <w:rPr>
          <w:lang w:val="fr-BE"/>
        </w:rPr>
      </w:pPr>
      <w:r w:rsidRPr="00D437A1">
        <w:rPr>
          <w:lang w:val="fr-BE"/>
        </w:rPr>
        <w:t>Une bonne connaissance du néerlandais, du français et de l’anglais est requise. Si le chef d'équipe ne dispose pas d'une bonne connaissance du néerlandais ou du français (niveau C2 du cadre européen de référence), il sera au moins assisté par un co-chef d'équipe qui possède cette connaissance. Afin de garantir une bonne compréhension des documents établis par l'administration belge, au moins un membre clé de l'équipe d'évaluation doit avoir une connaissance du néerlandais ou du français au niveau langue maternelle (niveau C2 du cadre européen de référence). L'équipe doit également disposer d’une connaissance des langues locales des pays partenaires sélectionnés.</w:t>
      </w:r>
    </w:p>
    <w:p w14:paraId="59A9E672" w14:textId="47DFE5B0" w:rsidR="00852C90" w:rsidRPr="00D437A1" w:rsidRDefault="000F4C9B" w:rsidP="00F57AFB">
      <w:pPr>
        <w:pStyle w:val="Vade-mecumtitre2"/>
      </w:pPr>
      <w:bookmarkStart w:id="713" w:name="_Toc116387800"/>
      <w:bookmarkStart w:id="714" w:name="_Toc117603272"/>
      <w:r w:rsidRPr="00D437A1">
        <w:t xml:space="preserve">B9.3 </w:t>
      </w:r>
      <w:bookmarkEnd w:id="713"/>
      <w:r w:rsidR="00F57AFB" w:rsidRPr="00F57AFB">
        <w:t>Composition</w:t>
      </w:r>
      <w:bookmarkEnd w:id="714"/>
      <w:r w:rsidR="00F57AFB" w:rsidRPr="00F57AFB">
        <w:t xml:space="preserve">  </w:t>
      </w:r>
    </w:p>
    <w:p w14:paraId="1330DB9F" w14:textId="44D27612" w:rsidR="00BE2802" w:rsidRPr="00BE2802" w:rsidRDefault="00BE2802" w:rsidP="00BE2802">
      <w:pPr>
        <w:snapToGrid w:val="0"/>
        <w:spacing w:after="120" w:line="240" w:lineRule="auto"/>
        <w:jc w:val="both"/>
        <w:rPr>
          <w:lang w:val="fr-BE"/>
        </w:rPr>
      </w:pPr>
      <w:r w:rsidRPr="00BE2802">
        <w:rPr>
          <w:lang w:val="fr-BE"/>
        </w:rPr>
        <w:t xml:space="preserve">La parité hommes-femmes au sein de l'équipe est encouragée, notamment en ce qui concerne la répartition des tâches et le nombre de journées de travail prévues.  </w:t>
      </w:r>
    </w:p>
    <w:p w14:paraId="1614722B" w14:textId="59850AEA" w:rsidR="00852C90" w:rsidRPr="00BE2802" w:rsidRDefault="00BE2802" w:rsidP="00BE2802">
      <w:pPr>
        <w:snapToGrid w:val="0"/>
        <w:spacing w:after="120" w:line="240" w:lineRule="auto"/>
        <w:jc w:val="both"/>
        <w:rPr>
          <w:lang w:val="fr-BE"/>
        </w:rPr>
      </w:pPr>
      <w:r w:rsidRPr="00BE2802">
        <w:rPr>
          <w:lang w:val="fr-BE"/>
        </w:rPr>
        <w:t>L’équipe d’évaluation doit également s'appuyer sur l'expertise des pays partenaires eux-mêmes. Cela implique un rôle à part entière en qualité d'évaluateur au sein de l'équipe et pas seulement un rôle de facilitateur</w:t>
      </w:r>
      <w:r w:rsidR="00FF3425">
        <w:rPr>
          <w:lang w:val="fr-BE"/>
        </w:rPr>
        <w:t xml:space="preserve"> des missions de terrain</w:t>
      </w:r>
      <w:r w:rsidRPr="00BE2802">
        <w:rPr>
          <w:lang w:val="fr-BE"/>
        </w:rPr>
        <w:t>.</w:t>
      </w:r>
    </w:p>
    <w:p w14:paraId="296C9312" w14:textId="3FE11534" w:rsidR="00852C90" w:rsidRPr="00852C90" w:rsidRDefault="000F4C9B" w:rsidP="00AD1EAC">
      <w:pPr>
        <w:pStyle w:val="Vade-mecumtitre2"/>
      </w:pPr>
      <w:bookmarkStart w:id="715" w:name="_Toc116387801"/>
      <w:bookmarkStart w:id="716" w:name="_Toc117603273"/>
      <w:r>
        <w:t xml:space="preserve">B9.4 </w:t>
      </w:r>
      <w:bookmarkEnd w:id="715"/>
      <w:r w:rsidR="00AD1EAC" w:rsidRPr="00AD1EAC">
        <w:t>Attitude constructive</w:t>
      </w:r>
      <w:bookmarkEnd w:id="716"/>
    </w:p>
    <w:p w14:paraId="16F148B6" w14:textId="03A2C2B9" w:rsidR="00852C90" w:rsidRPr="00BE2802" w:rsidRDefault="00422331" w:rsidP="00852C90">
      <w:pPr>
        <w:snapToGrid w:val="0"/>
        <w:spacing w:after="120" w:line="240" w:lineRule="auto"/>
        <w:jc w:val="both"/>
        <w:rPr>
          <w:highlight w:val="lightGray"/>
          <w:lang w:val="fr-BE"/>
        </w:rPr>
      </w:pPr>
      <w:bookmarkStart w:id="717" w:name="_Toc450715830"/>
      <w:bookmarkStart w:id="718" w:name="_Toc29741230"/>
      <w:r w:rsidRPr="00422331">
        <w:rPr>
          <w:lang w:val="fr-BE"/>
        </w:rPr>
        <w:t xml:space="preserve">Le SES estime que l'utilisation concrète d'une évaluation dépend notamment du déroulement du processus d'évaluation et du degré de participation constructive des différents acteurs concernés. </w:t>
      </w:r>
      <w:r w:rsidR="00852C90" w:rsidRPr="00BE2802">
        <w:rPr>
          <w:highlight w:val="lightGray"/>
          <w:lang w:val="fr-BE"/>
        </w:rPr>
        <w:t xml:space="preserve"> </w:t>
      </w:r>
    </w:p>
    <w:p w14:paraId="4674C7AA" w14:textId="32D6A6A4" w:rsidR="00852C90" w:rsidRPr="00852C90" w:rsidRDefault="00852C90" w:rsidP="007F7062">
      <w:pPr>
        <w:pStyle w:val="Vade-mecumtitre1"/>
        <w:numPr>
          <w:ilvl w:val="0"/>
          <w:numId w:val="0"/>
        </w:numPr>
        <w:ind w:left="432" w:hanging="432"/>
      </w:pPr>
      <w:bookmarkStart w:id="719" w:name="_Toc35550155"/>
      <w:bookmarkStart w:id="720" w:name="_Toc117603274"/>
      <w:r w:rsidRPr="00852C90">
        <w:t>B</w:t>
      </w:r>
      <w:r w:rsidR="00FF0844">
        <w:t>10</w:t>
      </w:r>
      <w:r w:rsidRPr="00852C90">
        <w:t xml:space="preserve">. </w:t>
      </w:r>
      <w:bookmarkEnd w:id="717"/>
      <w:bookmarkEnd w:id="718"/>
      <w:bookmarkEnd w:id="719"/>
      <w:r w:rsidR="00FC2CFD" w:rsidRPr="00FC2CFD">
        <w:t>Gestion de l’évaluation</w:t>
      </w:r>
      <w:bookmarkEnd w:id="720"/>
    </w:p>
    <w:p w14:paraId="091CA532" w14:textId="0EF3B12B" w:rsidR="00852C90" w:rsidRPr="00FF0844" w:rsidRDefault="00852C90" w:rsidP="004079CD">
      <w:pPr>
        <w:pStyle w:val="Vade-mecumtitre2"/>
        <w:rPr>
          <w:lang w:val="nl-NL"/>
        </w:rPr>
      </w:pPr>
      <w:bookmarkStart w:id="721" w:name="_Toc113544496"/>
      <w:bookmarkStart w:id="722" w:name="_Toc114066803"/>
      <w:bookmarkStart w:id="723" w:name="_Toc116387804"/>
      <w:bookmarkStart w:id="724" w:name="_Toc117603275"/>
      <w:bookmarkStart w:id="725" w:name="_Toc450715831"/>
      <w:bookmarkStart w:id="726" w:name="_Toc29741231"/>
      <w:r w:rsidRPr="00FF0844">
        <w:rPr>
          <w:lang w:val="nl-NL"/>
        </w:rPr>
        <w:t>B</w:t>
      </w:r>
      <w:r w:rsidR="00FF0844" w:rsidRPr="00FF0844">
        <w:rPr>
          <w:lang w:val="nl-NL"/>
        </w:rPr>
        <w:t>10</w:t>
      </w:r>
      <w:r w:rsidRPr="00FF0844">
        <w:rPr>
          <w:lang w:val="nl-NL"/>
        </w:rPr>
        <w:t xml:space="preserve">.1. </w:t>
      </w:r>
      <w:bookmarkEnd w:id="721"/>
      <w:bookmarkEnd w:id="722"/>
      <w:bookmarkEnd w:id="723"/>
      <w:r w:rsidR="004079CD" w:rsidRPr="004079CD">
        <w:rPr>
          <w:lang w:val="nl-NL"/>
        </w:rPr>
        <w:t>SES - Fonctionnaire dirigeant</w:t>
      </w:r>
      <w:bookmarkEnd w:id="724"/>
    </w:p>
    <w:p w14:paraId="2467E109" w14:textId="37A3B02D" w:rsidR="008C0299" w:rsidRPr="008C0299" w:rsidRDefault="008C0299" w:rsidP="008C0299">
      <w:pPr>
        <w:snapToGrid w:val="0"/>
        <w:spacing w:after="120" w:line="240" w:lineRule="auto"/>
        <w:jc w:val="both"/>
        <w:rPr>
          <w:lang w:val="fr-BE"/>
        </w:rPr>
      </w:pPr>
      <w:r w:rsidRPr="008C0299">
        <w:rPr>
          <w:lang w:val="fr-BE"/>
        </w:rPr>
        <w:t>Le Service de l’Évaluation spéciale (SES) est le service chargé du lancement de l’évaluation et de son pilotage administratif. Il représente le pouvoir adjudicateur et désigne le fonctionnaire dirigeant pour l'évaluation. En cette qualité, le fonctionnaire dirigeant vérifie la conformité de l’évaluation (sur la base du cadre légal et du cahier des charges) mais également la qualité du processus et les résultats de l’évaluation.</w:t>
      </w:r>
    </w:p>
    <w:p w14:paraId="2AFA19E0" w14:textId="4030CB18" w:rsidR="00852C90" w:rsidRPr="008C0299" w:rsidRDefault="008C0299" w:rsidP="008C0299">
      <w:pPr>
        <w:snapToGrid w:val="0"/>
        <w:spacing w:after="120" w:line="240" w:lineRule="auto"/>
        <w:jc w:val="both"/>
        <w:rPr>
          <w:highlight w:val="lightGray"/>
          <w:lang w:val="fr-BE"/>
        </w:rPr>
      </w:pPr>
      <w:r w:rsidRPr="008C0299">
        <w:rPr>
          <w:lang w:val="fr-BE"/>
        </w:rPr>
        <w:t>Le fonctionnaire dirigeant gère tout le processus d’évaluation, du début à la fin. Le SES, en sa qualité de pouvoir adjudicateur, est seul responsable de la direction du processus d'évaluation.</w:t>
      </w:r>
    </w:p>
    <w:p w14:paraId="7464D645" w14:textId="39C3AEEF" w:rsidR="00852C90" w:rsidRDefault="00852C90" w:rsidP="009225E4">
      <w:pPr>
        <w:pStyle w:val="Vade-mecumtitre2"/>
      </w:pPr>
      <w:bookmarkStart w:id="727" w:name="_Toc113544497"/>
      <w:bookmarkStart w:id="728" w:name="_Toc114066804"/>
      <w:bookmarkStart w:id="729" w:name="_Toc116387805"/>
      <w:bookmarkStart w:id="730" w:name="_Toc117603276"/>
      <w:r w:rsidRPr="00852C90">
        <w:t>B</w:t>
      </w:r>
      <w:bookmarkEnd w:id="727"/>
      <w:bookmarkEnd w:id="728"/>
      <w:r w:rsidR="00AC7230">
        <w:t xml:space="preserve">10.2 </w:t>
      </w:r>
      <w:bookmarkEnd w:id="729"/>
      <w:r w:rsidR="009225E4" w:rsidRPr="009225E4">
        <w:t>Parties prenantes</w:t>
      </w:r>
      <w:bookmarkEnd w:id="730"/>
      <w:r w:rsidR="009225E4" w:rsidRPr="009225E4">
        <w:t xml:space="preserve"> </w:t>
      </w:r>
    </w:p>
    <w:p w14:paraId="08993AC8" w14:textId="11D01114" w:rsidR="00E85D93" w:rsidRPr="00057C1B" w:rsidRDefault="00057C1B" w:rsidP="00E85D93">
      <w:pPr>
        <w:pStyle w:val="Vade-Mecum0"/>
        <w:spacing w:line="240" w:lineRule="auto"/>
        <w:jc w:val="both"/>
        <w:rPr>
          <w:highlight w:val="lightGray"/>
        </w:rPr>
      </w:pPr>
      <w:r w:rsidRPr="00057C1B">
        <w:t>Les acteurs concernés (les parties prenantes) sont les individus, les groupes ou les organisations qui ont des responsabilités et/ou des intérêts directs ou indirects dans l’objet de l’évaluation (politique, projet, programme, secteur, pays, etc.). Ils sont consultés à certaines étapes de l'évaluation (au travers d'entretiens, de questionnaires, de groupes échantillons, etc.).</w:t>
      </w:r>
    </w:p>
    <w:p w14:paraId="6BA7D74F" w14:textId="53A49853" w:rsidR="00AC7230" w:rsidRPr="00AC7230" w:rsidRDefault="00AC7230" w:rsidP="00164837">
      <w:pPr>
        <w:pStyle w:val="Vade-mecumtitre2"/>
      </w:pPr>
      <w:bookmarkStart w:id="731" w:name="_Toc116387806"/>
      <w:bookmarkStart w:id="732" w:name="_Toc117603277"/>
      <w:r>
        <w:t>B10.3</w:t>
      </w:r>
      <w:bookmarkEnd w:id="731"/>
      <w:r w:rsidR="00164837">
        <w:t xml:space="preserve"> </w:t>
      </w:r>
      <w:r w:rsidR="00164837" w:rsidRPr="00164837">
        <w:t>Comité d’accompagnement</w:t>
      </w:r>
      <w:bookmarkEnd w:id="732"/>
    </w:p>
    <w:p w14:paraId="3FA997A3" w14:textId="5F338039" w:rsidR="00E75206" w:rsidRPr="00E75206" w:rsidRDefault="00E75206" w:rsidP="00E75206">
      <w:pPr>
        <w:snapToGrid w:val="0"/>
        <w:spacing w:after="120" w:line="240" w:lineRule="auto"/>
        <w:jc w:val="both"/>
        <w:rPr>
          <w:lang w:val="fr-BE"/>
        </w:rPr>
      </w:pPr>
      <w:r w:rsidRPr="00E75206">
        <w:rPr>
          <w:lang w:val="fr-BE"/>
        </w:rPr>
        <w:t xml:space="preserve">Le Service de l'Évaluation spéciale constitue un comité d’accompagnement composé des différents acteurs concernés par l'évaluation et éventuellement d’experts indépendants. Le comité rendra des avis sur la méthodologie envisagée ainsi que sur les constats, les conclusions et les recommandations de l’évaluation. </w:t>
      </w:r>
    </w:p>
    <w:p w14:paraId="682B1ADC" w14:textId="77777777" w:rsidR="00E75206" w:rsidRPr="00E75206" w:rsidRDefault="00E75206" w:rsidP="00E75206">
      <w:pPr>
        <w:snapToGrid w:val="0"/>
        <w:spacing w:after="120" w:line="240" w:lineRule="auto"/>
        <w:jc w:val="both"/>
        <w:rPr>
          <w:lang w:val="fr-BE"/>
        </w:rPr>
      </w:pPr>
      <w:r w:rsidRPr="00E75206">
        <w:rPr>
          <w:lang w:val="fr-BE"/>
        </w:rPr>
        <w:t xml:space="preserve">Le comité d'accompagnement se réunira au moins quatre fois : à l'occasion (i) de la note méthodologique, (ii) de la cartographie, (iii) des rapports par pays et (iv) du rapport final provisoire. </w:t>
      </w:r>
    </w:p>
    <w:p w14:paraId="5A9F91A8" w14:textId="58B2512C" w:rsidR="0061278E" w:rsidRPr="00E75206" w:rsidRDefault="00E75206" w:rsidP="00E75206">
      <w:pPr>
        <w:snapToGrid w:val="0"/>
        <w:spacing w:after="120" w:line="240" w:lineRule="auto"/>
        <w:jc w:val="both"/>
        <w:rPr>
          <w:highlight w:val="lightGray"/>
          <w:lang w:val="fr-BE"/>
        </w:rPr>
      </w:pPr>
      <w:r w:rsidRPr="00E75206">
        <w:rPr>
          <w:lang w:val="fr-BE"/>
        </w:rPr>
        <w:t>Le SES préside le comité d'accompagnement et est également responsable de la supervision générale de la mission d'évaluation et de l'approbation définitive des résultats de l'évaluation.</w:t>
      </w:r>
    </w:p>
    <w:p w14:paraId="68D0E7F2" w14:textId="6F2C1C09" w:rsidR="00852C90" w:rsidRDefault="00852C90" w:rsidP="007F7062">
      <w:pPr>
        <w:pStyle w:val="Vade-mecumtitre1"/>
        <w:numPr>
          <w:ilvl w:val="0"/>
          <w:numId w:val="0"/>
        </w:numPr>
        <w:ind w:left="432" w:hanging="432"/>
        <w:rPr>
          <w:lang w:val="fr-BE"/>
        </w:rPr>
      </w:pPr>
      <w:bookmarkStart w:id="733" w:name="_Toc35550156"/>
      <w:bookmarkStart w:id="734" w:name="_Toc117603278"/>
      <w:r w:rsidRPr="006C2CEA">
        <w:rPr>
          <w:lang w:val="fr-BE"/>
        </w:rPr>
        <w:t>B</w:t>
      </w:r>
      <w:r w:rsidR="00AB4A28" w:rsidRPr="006C2CEA">
        <w:rPr>
          <w:lang w:val="fr-BE"/>
        </w:rPr>
        <w:t>11</w:t>
      </w:r>
      <w:r w:rsidRPr="006C2CEA">
        <w:rPr>
          <w:lang w:val="fr-BE"/>
        </w:rPr>
        <w:t xml:space="preserve">. </w:t>
      </w:r>
      <w:bookmarkEnd w:id="725"/>
      <w:bookmarkEnd w:id="726"/>
      <w:bookmarkEnd w:id="733"/>
      <w:r w:rsidR="006C2CEA" w:rsidRPr="006C2CEA">
        <w:rPr>
          <w:lang w:val="fr-BE"/>
        </w:rPr>
        <w:t>Format et langue des rapports</w:t>
      </w:r>
      <w:bookmarkEnd w:id="734"/>
    </w:p>
    <w:p w14:paraId="220A9990" w14:textId="6727E4D1" w:rsidR="00FD54CD" w:rsidRPr="00FD54CD" w:rsidRDefault="00FD54CD" w:rsidP="00FD54CD">
      <w:pPr>
        <w:pStyle w:val="Vade-mecumtitre2"/>
      </w:pPr>
      <w:bookmarkStart w:id="735" w:name="_Toc117603279"/>
      <w:r>
        <w:t xml:space="preserve">B11.1 </w:t>
      </w:r>
      <w:r w:rsidRPr="00FD54CD">
        <w:t>Langue des rapports</w:t>
      </w:r>
      <w:bookmarkEnd w:id="735"/>
    </w:p>
    <w:p w14:paraId="0BB1EE40" w14:textId="77777777" w:rsidR="00FD54CD" w:rsidRPr="00FD54CD" w:rsidRDefault="00FD54CD" w:rsidP="00FD54CD">
      <w:pPr>
        <w:spacing w:after="0" w:line="240" w:lineRule="auto"/>
        <w:jc w:val="both"/>
        <w:textAlignment w:val="baseline"/>
        <w:rPr>
          <w:rFonts w:eastAsia="Times New Roman" w:cs="Segoe UI"/>
          <w:szCs w:val="22"/>
          <w:lang w:val="fr-BE"/>
        </w:rPr>
      </w:pPr>
      <w:r w:rsidRPr="00FD54CD">
        <w:rPr>
          <w:rFonts w:eastAsia="Times New Roman" w:cs="Segoe UI"/>
          <w:szCs w:val="22"/>
          <w:lang w:val="fr-BE"/>
        </w:rPr>
        <w:t>Tous les documents seront rédigés en néerlandais, français ou anglais. Le rapport final sera rédigé en anglais, en français ou en néerlandais et comprendra un résumé dans les deux autres langues. Celui-ci contiendra les explications et argumentations relatives aux principales conclusions et recommandations formulées.  </w:t>
      </w:r>
    </w:p>
    <w:p w14:paraId="440DC4EC" w14:textId="77777777" w:rsidR="00FD54CD" w:rsidRPr="00FD54CD" w:rsidRDefault="00FD54CD" w:rsidP="00FD54CD">
      <w:pPr>
        <w:shd w:val="clear" w:color="auto" w:fill="FDFDFD"/>
        <w:spacing w:after="0" w:line="240" w:lineRule="auto"/>
        <w:jc w:val="both"/>
        <w:textAlignment w:val="baseline"/>
        <w:rPr>
          <w:rFonts w:eastAsia="Times New Roman" w:cs="Segoe UI"/>
          <w:szCs w:val="22"/>
          <w:lang w:val="fr-BE"/>
        </w:rPr>
      </w:pPr>
      <w:r w:rsidRPr="00FD54CD">
        <w:rPr>
          <w:rFonts w:eastAsia="Times New Roman" w:cs="Segoe UI"/>
          <w:color w:val="000000"/>
          <w:szCs w:val="22"/>
          <w:lang w:val="fr-BE"/>
        </w:rPr>
        <w:t>Les rapports par pays doivent être rédigés dans la langue internationale la plus pertinente pour le pays partenaire.</w:t>
      </w:r>
    </w:p>
    <w:p w14:paraId="5F486A00" w14:textId="77777777" w:rsidR="00FD54CD" w:rsidRPr="00FD54CD" w:rsidRDefault="00FD54CD" w:rsidP="00FD54CD">
      <w:pPr>
        <w:shd w:val="clear" w:color="auto" w:fill="FDFDFD"/>
        <w:spacing w:after="0" w:line="240" w:lineRule="auto"/>
        <w:jc w:val="both"/>
        <w:textAlignment w:val="baseline"/>
        <w:rPr>
          <w:rFonts w:eastAsia="Times New Roman" w:cs="Segoe UI"/>
          <w:szCs w:val="22"/>
          <w:lang w:val="fr-BE"/>
        </w:rPr>
      </w:pPr>
      <w:r w:rsidRPr="00FD54CD">
        <w:rPr>
          <w:rFonts w:eastAsia="Times New Roman" w:cs="Segoe UI"/>
          <w:szCs w:val="22"/>
          <w:lang w:val="fr-BE"/>
        </w:rPr>
        <w:t>Le rapport final doit pouvoir être lu et compris par un large public. </w:t>
      </w:r>
    </w:p>
    <w:p w14:paraId="78175AC9" w14:textId="77777777" w:rsidR="00FD54CD" w:rsidRPr="00FD54CD" w:rsidRDefault="00FD54CD" w:rsidP="00FD54CD">
      <w:pPr>
        <w:shd w:val="clear" w:color="auto" w:fill="FDFDFD"/>
        <w:spacing w:after="0" w:line="240" w:lineRule="auto"/>
        <w:jc w:val="both"/>
        <w:textAlignment w:val="baseline"/>
        <w:rPr>
          <w:rFonts w:eastAsia="Times New Roman" w:cs="Segoe UI"/>
          <w:szCs w:val="22"/>
          <w:lang w:val="fr-BE"/>
        </w:rPr>
      </w:pPr>
      <w:r w:rsidRPr="00FD54CD">
        <w:rPr>
          <w:rFonts w:eastAsia="Times New Roman" w:cs="Segoe UI"/>
          <w:szCs w:val="22"/>
          <w:lang w:val="fr-BE"/>
        </w:rPr>
        <w:t> </w:t>
      </w:r>
    </w:p>
    <w:p w14:paraId="3302DA97" w14:textId="64E58D77" w:rsidR="00FD54CD" w:rsidRPr="00FD54CD" w:rsidRDefault="00FD54CD" w:rsidP="00FD54CD">
      <w:pPr>
        <w:pStyle w:val="Vade-mecumtitre2"/>
      </w:pPr>
      <w:bookmarkStart w:id="736" w:name="_Toc117603280"/>
      <w:r w:rsidRPr="00FD54CD">
        <w:t>B11.2 Longueur des rapports</w:t>
      </w:r>
      <w:bookmarkEnd w:id="736"/>
    </w:p>
    <w:p w14:paraId="0F889937" w14:textId="77777777" w:rsidR="00FD54CD" w:rsidRPr="00FD54CD" w:rsidRDefault="00FD54CD" w:rsidP="00FD54CD">
      <w:pPr>
        <w:shd w:val="clear" w:color="auto" w:fill="FDFDFD"/>
        <w:spacing w:after="0" w:line="240" w:lineRule="auto"/>
        <w:jc w:val="both"/>
        <w:textAlignment w:val="baseline"/>
        <w:rPr>
          <w:rFonts w:eastAsia="Times New Roman" w:cs="Segoe UI"/>
          <w:szCs w:val="22"/>
          <w:lang w:val="fr-BE"/>
        </w:rPr>
      </w:pPr>
      <w:r w:rsidRPr="00FD54CD">
        <w:rPr>
          <w:rFonts w:eastAsia="Times New Roman" w:cs="Segoe UI"/>
          <w:szCs w:val="22"/>
          <w:lang w:val="fr-BE"/>
        </w:rPr>
        <w:t>Les processus d'évaluation exigent un investissement en temps considérable de la part des acteurs impliqués. Il est donc important de limiter la longueur des différents rapports :</w:t>
      </w:r>
    </w:p>
    <w:p w14:paraId="066A9BF7" w14:textId="77777777" w:rsidR="00FD54CD" w:rsidRPr="00FD54CD" w:rsidRDefault="00FD54CD" w:rsidP="00FD54CD">
      <w:pPr>
        <w:numPr>
          <w:ilvl w:val="0"/>
          <w:numId w:val="49"/>
        </w:numPr>
        <w:shd w:val="clear" w:color="auto" w:fill="FDFDFD"/>
        <w:spacing w:after="0" w:line="240" w:lineRule="auto"/>
        <w:jc w:val="both"/>
        <w:textAlignment w:val="baseline"/>
        <w:rPr>
          <w:rFonts w:eastAsia="Times New Roman" w:cs="Segoe UI"/>
          <w:szCs w:val="22"/>
          <w:lang w:val="fr-BE"/>
        </w:rPr>
      </w:pPr>
      <w:r w:rsidRPr="00FD54CD">
        <w:rPr>
          <w:rFonts w:eastAsia="Times New Roman" w:cs="Segoe UI"/>
          <w:szCs w:val="22"/>
          <w:lang w:val="fr-BE"/>
        </w:rPr>
        <w:t>La note méthodologique ne devra pas dépasser 30 pages.</w:t>
      </w:r>
    </w:p>
    <w:p w14:paraId="42EE030F" w14:textId="77777777" w:rsidR="00FD54CD" w:rsidRPr="00FD54CD" w:rsidRDefault="00FD54CD" w:rsidP="00FD54CD">
      <w:pPr>
        <w:numPr>
          <w:ilvl w:val="0"/>
          <w:numId w:val="49"/>
        </w:numPr>
        <w:shd w:val="clear" w:color="auto" w:fill="FDFDFD"/>
        <w:spacing w:after="0" w:line="240" w:lineRule="auto"/>
        <w:jc w:val="both"/>
        <w:textAlignment w:val="baseline"/>
        <w:rPr>
          <w:rFonts w:eastAsia="Times New Roman" w:cs="Segoe UI"/>
          <w:szCs w:val="22"/>
          <w:lang w:val="fr-BE"/>
        </w:rPr>
      </w:pPr>
      <w:r w:rsidRPr="00FD54CD">
        <w:rPr>
          <w:rFonts w:eastAsia="Times New Roman" w:cs="Segoe UI"/>
          <w:szCs w:val="22"/>
          <w:lang w:val="fr-BE"/>
        </w:rPr>
        <w:t>La cartographie ne devra pas dépasser 50 pages.</w:t>
      </w:r>
    </w:p>
    <w:p w14:paraId="3FF8365C" w14:textId="77777777" w:rsidR="00FD54CD" w:rsidRPr="00FD54CD" w:rsidRDefault="00FD54CD" w:rsidP="00FD54CD">
      <w:pPr>
        <w:numPr>
          <w:ilvl w:val="0"/>
          <w:numId w:val="49"/>
        </w:numPr>
        <w:shd w:val="clear" w:color="auto" w:fill="FDFDFD"/>
        <w:spacing w:after="0" w:line="240" w:lineRule="auto"/>
        <w:jc w:val="both"/>
        <w:textAlignment w:val="baseline"/>
        <w:rPr>
          <w:rFonts w:eastAsia="Times New Roman" w:cs="Segoe UI"/>
          <w:szCs w:val="22"/>
          <w:lang w:val="fr-BE"/>
        </w:rPr>
      </w:pPr>
      <w:r w:rsidRPr="00FD54CD">
        <w:rPr>
          <w:rFonts w:eastAsia="Times New Roman" w:cs="Segoe UI"/>
          <w:szCs w:val="22"/>
          <w:lang w:val="fr-BE"/>
        </w:rPr>
        <w:t>Les rapports par pays ne dépasseront pas 40 pages.</w:t>
      </w:r>
    </w:p>
    <w:p w14:paraId="304A2E15" w14:textId="77777777" w:rsidR="00FD54CD" w:rsidRPr="00FD54CD" w:rsidRDefault="00FD54CD" w:rsidP="00FD54CD">
      <w:pPr>
        <w:numPr>
          <w:ilvl w:val="0"/>
          <w:numId w:val="49"/>
        </w:numPr>
        <w:shd w:val="clear" w:color="auto" w:fill="FDFDFD"/>
        <w:spacing w:after="0" w:line="240" w:lineRule="auto"/>
        <w:jc w:val="both"/>
        <w:textAlignment w:val="baseline"/>
        <w:rPr>
          <w:rFonts w:eastAsia="Times New Roman" w:cs="Segoe UI"/>
          <w:szCs w:val="22"/>
          <w:lang w:val="fr-BE"/>
        </w:rPr>
      </w:pPr>
      <w:r w:rsidRPr="00FD54CD">
        <w:rPr>
          <w:rFonts w:eastAsia="Times New Roman" w:cs="Segoe UI"/>
          <w:szCs w:val="22"/>
          <w:lang w:val="fr-BE"/>
        </w:rPr>
        <w:t>Le rapport final ne devra pas dépasser</w:t>
      </w:r>
      <w:r w:rsidRPr="00FD54CD">
        <w:rPr>
          <w:rFonts w:eastAsia="Times New Roman" w:cs="Segoe UI"/>
          <w:color w:val="000000"/>
          <w:szCs w:val="22"/>
          <w:lang w:val="fr-BE"/>
        </w:rPr>
        <w:t xml:space="preserve"> 60 pages.</w:t>
      </w:r>
    </w:p>
    <w:p w14:paraId="28D69A1F" w14:textId="77777777" w:rsidR="00FD54CD" w:rsidRPr="00FD54CD" w:rsidRDefault="00FD54CD" w:rsidP="00FD54CD">
      <w:pPr>
        <w:numPr>
          <w:ilvl w:val="0"/>
          <w:numId w:val="49"/>
        </w:numPr>
        <w:shd w:val="clear" w:color="auto" w:fill="FDFDFD"/>
        <w:spacing w:after="0" w:line="240" w:lineRule="auto"/>
        <w:jc w:val="both"/>
        <w:textAlignment w:val="baseline"/>
        <w:rPr>
          <w:rFonts w:eastAsia="Times New Roman" w:cs="Segoe UI"/>
          <w:szCs w:val="22"/>
          <w:lang w:val="fr-BE"/>
        </w:rPr>
      </w:pPr>
      <w:r w:rsidRPr="00FD54CD">
        <w:rPr>
          <w:rFonts w:eastAsia="Times New Roman" w:cs="Segoe UI"/>
          <w:color w:val="000000"/>
          <w:szCs w:val="22"/>
          <w:lang w:val="fr-BE"/>
        </w:rPr>
        <w:t>Les résumés du rapport final ne dépasseront pas 8 pages, illustrations comprises. Les résumés seront lisibles, accessibles à un large public. Les résumés constituent des documents indépendants, qui ne sont pas de simples copier-coller des conclusions et des recommandations.</w:t>
      </w:r>
    </w:p>
    <w:p w14:paraId="4BE35D78" w14:textId="77777777" w:rsidR="00FD54CD" w:rsidRPr="00FD54CD" w:rsidRDefault="00FD54CD" w:rsidP="00FD54CD">
      <w:pPr>
        <w:shd w:val="clear" w:color="auto" w:fill="FDFDFD"/>
        <w:spacing w:after="0" w:line="240" w:lineRule="auto"/>
        <w:jc w:val="both"/>
        <w:textAlignment w:val="baseline"/>
        <w:rPr>
          <w:rFonts w:eastAsia="Times New Roman" w:cs="Segoe UI"/>
          <w:szCs w:val="22"/>
          <w:lang w:val="fr-BE"/>
        </w:rPr>
      </w:pPr>
    </w:p>
    <w:p w14:paraId="6C85A600" w14:textId="77777777" w:rsidR="00FD54CD" w:rsidRPr="00FD54CD" w:rsidRDefault="00FD54CD" w:rsidP="00FD54CD">
      <w:pPr>
        <w:shd w:val="clear" w:color="auto" w:fill="FDFDFD"/>
        <w:spacing w:after="0" w:line="240" w:lineRule="auto"/>
        <w:jc w:val="both"/>
        <w:textAlignment w:val="baseline"/>
        <w:rPr>
          <w:rFonts w:eastAsia="Times New Roman" w:cs="Segoe UI"/>
          <w:szCs w:val="22"/>
          <w:lang w:val="fr-BE"/>
        </w:rPr>
      </w:pPr>
      <w:r w:rsidRPr="00FD54CD">
        <w:rPr>
          <w:rFonts w:eastAsia="Times New Roman" w:cs="Segoe UI"/>
          <w:color w:val="000000"/>
          <w:szCs w:val="22"/>
          <w:lang w:val="fr-BE"/>
        </w:rPr>
        <w:t>Les annexes ne sont pas tenues à ces restrictions.</w:t>
      </w:r>
    </w:p>
    <w:p w14:paraId="5E3E2CEF" w14:textId="77777777" w:rsidR="00FD54CD" w:rsidRPr="00FD54CD" w:rsidRDefault="00FD54CD" w:rsidP="00FD54CD">
      <w:pPr>
        <w:shd w:val="clear" w:color="auto" w:fill="FDFDFD"/>
        <w:spacing w:after="0" w:line="240" w:lineRule="auto"/>
        <w:jc w:val="both"/>
        <w:textAlignment w:val="baseline"/>
        <w:rPr>
          <w:rFonts w:eastAsia="Times New Roman" w:cs="Segoe UI"/>
          <w:szCs w:val="22"/>
          <w:lang w:val="fr-BE"/>
        </w:rPr>
      </w:pPr>
      <w:r w:rsidRPr="00FD54CD">
        <w:rPr>
          <w:rFonts w:eastAsia="Times New Roman" w:cs="Segoe UI"/>
          <w:color w:val="000000"/>
          <w:szCs w:val="22"/>
          <w:lang w:val="fr-BE"/>
        </w:rPr>
        <w:t>Des photographies seront prévues pour illustrer les rapports par pays et le rapport final/la couverture.</w:t>
      </w:r>
    </w:p>
    <w:p w14:paraId="6F2B901E" w14:textId="77777777" w:rsidR="00FD54CD" w:rsidRPr="00FD54CD" w:rsidRDefault="00FD54CD" w:rsidP="00FD54CD">
      <w:pPr>
        <w:shd w:val="clear" w:color="auto" w:fill="FDFDFD"/>
        <w:spacing w:after="0" w:line="240" w:lineRule="auto"/>
        <w:jc w:val="both"/>
        <w:textAlignment w:val="baseline"/>
        <w:rPr>
          <w:rFonts w:eastAsia="Times New Roman" w:cs="Segoe UI"/>
          <w:szCs w:val="22"/>
          <w:lang w:val="fr-BE"/>
        </w:rPr>
      </w:pPr>
    </w:p>
    <w:p w14:paraId="7544B27A" w14:textId="77777777" w:rsidR="00FD54CD" w:rsidRPr="00FD54CD" w:rsidRDefault="00FD54CD" w:rsidP="00FD54CD">
      <w:pPr>
        <w:shd w:val="clear" w:color="auto" w:fill="FDFDFD"/>
        <w:spacing w:after="0" w:line="240" w:lineRule="auto"/>
        <w:jc w:val="both"/>
        <w:textAlignment w:val="baseline"/>
        <w:rPr>
          <w:rFonts w:eastAsia="Times New Roman" w:cs="Segoe UI"/>
          <w:b/>
          <w:szCs w:val="22"/>
          <w:lang w:val="fr-BE"/>
        </w:rPr>
      </w:pPr>
      <w:r w:rsidRPr="00FD54CD">
        <w:rPr>
          <w:rFonts w:eastAsia="Times New Roman" w:cs="Segoe UI"/>
          <w:b/>
          <w:color w:val="000000"/>
          <w:szCs w:val="22"/>
          <w:lang w:val="fr-BE"/>
        </w:rPr>
        <w:t>Le Service de l'Évaluation spéciale fournira les instructions de mise en page et en matière de contenu pour les différents rapports au moment du lancement de l'évaluation.</w:t>
      </w:r>
    </w:p>
    <w:p w14:paraId="40C55438" w14:textId="4DCCD5E1" w:rsidR="00852C90" w:rsidRPr="00221629" w:rsidRDefault="00852C90" w:rsidP="007F7062">
      <w:pPr>
        <w:pStyle w:val="Vade-mecumtitre1"/>
        <w:numPr>
          <w:ilvl w:val="0"/>
          <w:numId w:val="0"/>
        </w:numPr>
        <w:ind w:left="432" w:hanging="432"/>
        <w:rPr>
          <w:lang w:val="fr-BE"/>
        </w:rPr>
      </w:pPr>
      <w:bookmarkStart w:id="737" w:name="_Toc450715832"/>
      <w:bookmarkStart w:id="738" w:name="_Toc29741232"/>
      <w:bookmarkStart w:id="739" w:name="_Toc35550157"/>
      <w:bookmarkStart w:id="740" w:name="_Toc117603281"/>
      <w:r w:rsidRPr="00221629">
        <w:rPr>
          <w:lang w:val="fr-BE"/>
        </w:rPr>
        <w:t>B1</w:t>
      </w:r>
      <w:r w:rsidR="00306AAB" w:rsidRPr="00221629">
        <w:rPr>
          <w:lang w:val="fr-BE"/>
        </w:rPr>
        <w:t>2</w:t>
      </w:r>
      <w:r w:rsidRPr="00221629">
        <w:rPr>
          <w:lang w:val="fr-BE"/>
        </w:rPr>
        <w:t xml:space="preserve">. </w:t>
      </w:r>
      <w:bookmarkEnd w:id="737"/>
      <w:bookmarkEnd w:id="738"/>
      <w:bookmarkEnd w:id="739"/>
      <w:r w:rsidR="00221629" w:rsidRPr="00221629">
        <w:rPr>
          <w:lang w:val="fr-BE"/>
        </w:rPr>
        <w:t>Critères applicables aux offres</w:t>
      </w:r>
      <w:bookmarkEnd w:id="740"/>
    </w:p>
    <w:p w14:paraId="6D3CB511" w14:textId="5924A311" w:rsidR="00852C90" w:rsidRPr="0018007B" w:rsidRDefault="0018007B" w:rsidP="00852C90">
      <w:pPr>
        <w:snapToGrid w:val="0"/>
        <w:spacing w:after="120" w:line="240" w:lineRule="auto"/>
        <w:jc w:val="both"/>
        <w:rPr>
          <w:highlight w:val="lightGray"/>
          <w:lang w:val="fr-BE"/>
        </w:rPr>
      </w:pPr>
      <w:r w:rsidRPr="0018007B">
        <w:rPr>
          <w:lang w:val="fr-BE"/>
        </w:rPr>
        <w:t>Les candidats sont priés de soumettre une offre comportant un volet financier et un volet technique. La capacité du soumissionnaire à rédiger des documents clairs et concis sera également appréciée.</w:t>
      </w:r>
    </w:p>
    <w:p w14:paraId="5E86F491" w14:textId="3C568AFB" w:rsidR="007E67F4" w:rsidRPr="0053263B" w:rsidRDefault="007E67F4" w:rsidP="0053263B">
      <w:pPr>
        <w:pStyle w:val="Vade-mecumtitre2"/>
        <w:rPr>
          <w:lang w:val="nl-NL"/>
        </w:rPr>
      </w:pPr>
      <w:bookmarkStart w:id="741" w:name="_Toc116387814"/>
      <w:bookmarkStart w:id="742" w:name="_Toc117603282"/>
      <w:r w:rsidRPr="0053263B">
        <w:rPr>
          <w:lang w:val="nl-NL"/>
        </w:rPr>
        <w:t>B1</w:t>
      </w:r>
      <w:r w:rsidR="00306AAB" w:rsidRPr="0053263B">
        <w:rPr>
          <w:lang w:val="nl-NL"/>
        </w:rPr>
        <w:t>2</w:t>
      </w:r>
      <w:r w:rsidRPr="0053263B">
        <w:rPr>
          <w:lang w:val="nl-NL"/>
        </w:rPr>
        <w:t xml:space="preserve">.1 </w:t>
      </w:r>
      <w:bookmarkEnd w:id="741"/>
      <w:r w:rsidR="0053263B" w:rsidRPr="0053263B">
        <w:rPr>
          <w:lang w:val="nl-NL"/>
        </w:rPr>
        <w:t>Volet financier</w:t>
      </w:r>
      <w:bookmarkEnd w:id="742"/>
    </w:p>
    <w:p w14:paraId="5FD453FC" w14:textId="114E8194" w:rsidR="00852C90" w:rsidRPr="00BD1EBF" w:rsidRDefault="00BD1EBF" w:rsidP="00852C90">
      <w:pPr>
        <w:snapToGrid w:val="0"/>
        <w:spacing w:after="120" w:line="240" w:lineRule="auto"/>
        <w:jc w:val="both"/>
        <w:rPr>
          <w:highlight w:val="lightGray"/>
          <w:lang w:val="fr-BE"/>
        </w:rPr>
      </w:pPr>
      <w:r w:rsidRPr="00BD1EBF">
        <w:rPr>
          <w:lang w:val="fr-BE"/>
        </w:rPr>
        <w:t>L'offre financière comprendra une estimation du coût, assortie de rubriques de dépenses par phase de l'évaluation, par évaluateur et par mission sur le terrain. Au moins 20 jours de travail sur place par mission sur le terrain seront prévus (voyages internationaux non inclus).</w:t>
      </w:r>
    </w:p>
    <w:p w14:paraId="01263615" w14:textId="4F4D08DF" w:rsidR="007E67F4" w:rsidRPr="0053263B" w:rsidRDefault="007E67F4" w:rsidP="007E67F4">
      <w:pPr>
        <w:pStyle w:val="Vade-mecumtitre2"/>
      </w:pPr>
      <w:bookmarkStart w:id="743" w:name="_Toc116387815"/>
      <w:bookmarkStart w:id="744" w:name="_Toc117603283"/>
      <w:r w:rsidRPr="0053263B">
        <w:t>B1</w:t>
      </w:r>
      <w:r w:rsidR="00306AAB" w:rsidRPr="0053263B">
        <w:t>2</w:t>
      </w:r>
      <w:r w:rsidRPr="0053263B">
        <w:t xml:space="preserve">.2 </w:t>
      </w:r>
      <w:bookmarkEnd w:id="743"/>
      <w:r w:rsidR="0053263B" w:rsidRPr="0053263B">
        <w:t>Volet technique</w:t>
      </w:r>
      <w:bookmarkEnd w:id="744"/>
    </w:p>
    <w:p w14:paraId="795FB4E3" w14:textId="6996A914" w:rsidR="00763A76" w:rsidRPr="00763A76" w:rsidRDefault="00763A76" w:rsidP="00763A76">
      <w:pPr>
        <w:snapToGrid w:val="0"/>
        <w:spacing w:after="120" w:line="240" w:lineRule="auto"/>
        <w:jc w:val="both"/>
        <w:rPr>
          <w:lang w:val="fr-BE"/>
        </w:rPr>
      </w:pPr>
      <w:r w:rsidRPr="00763A76">
        <w:rPr>
          <w:lang w:val="fr-BE"/>
        </w:rPr>
        <w:t xml:space="preserve">L'offre technique comprendra quatre parties :  </w:t>
      </w:r>
    </w:p>
    <w:p w14:paraId="59579FCE" w14:textId="2941CEDB" w:rsidR="00FF073D" w:rsidRDefault="00763A76" w:rsidP="00763A76">
      <w:pPr>
        <w:pStyle w:val="ListParagraph"/>
        <w:numPr>
          <w:ilvl w:val="0"/>
          <w:numId w:val="49"/>
        </w:numPr>
        <w:snapToGrid w:val="0"/>
        <w:spacing w:after="120" w:line="240" w:lineRule="auto"/>
        <w:jc w:val="both"/>
        <w:rPr>
          <w:lang w:val="fr-BE"/>
        </w:rPr>
      </w:pPr>
      <w:r w:rsidRPr="00FF073D">
        <w:rPr>
          <w:lang w:val="fr-BE"/>
        </w:rPr>
        <w:t>une description de l'approche méthodologique proposée et de la conception des termes de référence</w:t>
      </w:r>
      <w:r w:rsidR="00FF073D">
        <w:rPr>
          <w:lang w:val="fr-BE"/>
        </w:rPr>
        <w:t> ;</w:t>
      </w:r>
    </w:p>
    <w:p w14:paraId="798C36B2" w14:textId="18FB5885" w:rsidR="00FF073D" w:rsidRDefault="00763A76" w:rsidP="00763A76">
      <w:pPr>
        <w:pStyle w:val="ListParagraph"/>
        <w:numPr>
          <w:ilvl w:val="0"/>
          <w:numId w:val="49"/>
        </w:numPr>
        <w:snapToGrid w:val="0"/>
        <w:spacing w:after="120" w:line="240" w:lineRule="auto"/>
        <w:jc w:val="both"/>
        <w:rPr>
          <w:lang w:val="fr-BE"/>
        </w:rPr>
      </w:pPr>
      <w:r w:rsidRPr="00FF073D">
        <w:rPr>
          <w:lang w:val="fr-BE"/>
        </w:rPr>
        <w:t>une description de l'approche pratique de l'évaluation et de la répartition des tâches au sein de l'équipe d'évaluation</w:t>
      </w:r>
      <w:r w:rsidR="00FF073D">
        <w:rPr>
          <w:lang w:val="fr-BE"/>
        </w:rPr>
        <w:t> ;</w:t>
      </w:r>
      <w:r w:rsidRPr="00FF073D">
        <w:rPr>
          <w:lang w:val="fr-BE"/>
        </w:rPr>
        <w:t xml:space="preserve">  </w:t>
      </w:r>
    </w:p>
    <w:p w14:paraId="57B1E62D" w14:textId="299FF8AC" w:rsidR="00FF073D" w:rsidRDefault="00763A76" w:rsidP="00763A76">
      <w:pPr>
        <w:pStyle w:val="ListParagraph"/>
        <w:numPr>
          <w:ilvl w:val="0"/>
          <w:numId w:val="49"/>
        </w:numPr>
        <w:snapToGrid w:val="0"/>
        <w:spacing w:after="120" w:line="240" w:lineRule="auto"/>
        <w:jc w:val="both"/>
        <w:rPr>
          <w:lang w:val="fr-BE"/>
        </w:rPr>
      </w:pPr>
      <w:r w:rsidRPr="00FF073D">
        <w:rPr>
          <w:lang w:val="fr-BE"/>
        </w:rPr>
        <w:t>l'expertise et l'expérience du chef d'équipe</w:t>
      </w:r>
      <w:r w:rsidR="00FF073D">
        <w:rPr>
          <w:lang w:val="fr-BE"/>
        </w:rPr>
        <w:t> ;</w:t>
      </w:r>
    </w:p>
    <w:p w14:paraId="6490DA68" w14:textId="05B5978E" w:rsidR="00763A76" w:rsidRPr="00FF073D" w:rsidRDefault="00763A76" w:rsidP="00763A76">
      <w:pPr>
        <w:pStyle w:val="ListParagraph"/>
        <w:numPr>
          <w:ilvl w:val="0"/>
          <w:numId w:val="49"/>
        </w:numPr>
        <w:snapToGrid w:val="0"/>
        <w:spacing w:after="120" w:line="240" w:lineRule="auto"/>
        <w:jc w:val="both"/>
        <w:rPr>
          <w:lang w:val="fr-BE"/>
        </w:rPr>
      </w:pPr>
      <w:r w:rsidRPr="00FF073D">
        <w:rPr>
          <w:lang w:val="fr-BE"/>
        </w:rPr>
        <w:t>l'expertise et l'expérience des membres de l'équipe</w:t>
      </w:r>
      <w:r w:rsidR="00E57956">
        <w:rPr>
          <w:lang w:val="fr-BE"/>
        </w:rPr>
        <w:t> ; experts internationaux et locaux.</w:t>
      </w:r>
      <w:r w:rsidRPr="00FF073D">
        <w:rPr>
          <w:lang w:val="fr-BE"/>
        </w:rPr>
        <w:t xml:space="preserve"> </w:t>
      </w:r>
    </w:p>
    <w:p w14:paraId="3C0466E3" w14:textId="449629C9" w:rsidR="00763A76" w:rsidRPr="00763A76" w:rsidRDefault="00763A76" w:rsidP="00763A76">
      <w:pPr>
        <w:snapToGrid w:val="0"/>
        <w:spacing w:after="120" w:line="240" w:lineRule="auto"/>
        <w:jc w:val="both"/>
        <w:rPr>
          <w:lang w:val="fr-BE"/>
        </w:rPr>
      </w:pPr>
      <w:r w:rsidRPr="00763A76">
        <w:rPr>
          <w:lang w:val="fr-BE"/>
        </w:rPr>
        <w:t xml:space="preserve">La section méthodologie et compréhension des termes de référence expliquera comment l'équipe d'évaluation entend répondre aux questions et aux attentes. Plus précisément, le prestataire de services doit préciser sa vision du contexte, des objectifs et des questions d'évaluation, mais aussi sa valeur ajoutée dans le cadre de l'évaluation.  </w:t>
      </w:r>
    </w:p>
    <w:p w14:paraId="0A1BA2B3" w14:textId="4BBC4D19" w:rsidR="00852C90" w:rsidRPr="00FF073D" w:rsidRDefault="00763A76" w:rsidP="00763A76">
      <w:pPr>
        <w:snapToGrid w:val="0"/>
        <w:spacing w:after="120" w:line="240" w:lineRule="auto"/>
        <w:jc w:val="both"/>
        <w:rPr>
          <w:lang w:val="fr-BE"/>
        </w:rPr>
      </w:pPr>
      <w:r w:rsidRPr="00763A76">
        <w:rPr>
          <w:lang w:val="fr-BE"/>
        </w:rPr>
        <w:t xml:space="preserve">L'offre technique doit définir clairement qui prend en charge quelles tâches particulières au sein de l'équipe d'évaluation. Cette expérience vaut tant pour les évaluateurs internationaux que les experts locaux. </w:t>
      </w:r>
      <w:r w:rsidRPr="00FF073D">
        <w:rPr>
          <w:lang w:val="fr-BE"/>
        </w:rPr>
        <w:t xml:space="preserve">Compte tenu de l'importance d'une répartition cohérente des tâches et de la coordination au sein de l'équipe d'évaluation, le rôle et la disponibilité du chef d'équipe seront clairement indiqués.  </w:t>
      </w:r>
    </w:p>
    <w:p w14:paraId="4C5C944A" w14:textId="7A5F66C3" w:rsidR="00745245" w:rsidRDefault="001E481C" w:rsidP="009875B8">
      <w:pPr>
        <w:snapToGrid w:val="0"/>
        <w:spacing w:after="120" w:line="240" w:lineRule="auto"/>
        <w:jc w:val="both"/>
        <w:rPr>
          <w:b/>
          <w:bCs/>
          <w:lang w:val="fr-BE"/>
        </w:rPr>
      </w:pPr>
      <w:r w:rsidRPr="001E481C">
        <w:rPr>
          <w:b/>
          <w:bCs/>
          <w:lang w:val="fr-BE"/>
        </w:rPr>
        <w:t xml:space="preserve">Le nombre total de jours de travail des évaluateurs est estimé à </w:t>
      </w:r>
      <w:r w:rsidR="006402A0">
        <w:rPr>
          <w:b/>
          <w:bCs/>
          <w:lang w:val="fr-BE"/>
        </w:rPr>
        <w:t xml:space="preserve">260-300 jours. </w:t>
      </w:r>
    </w:p>
    <w:p w14:paraId="38F630DE" w14:textId="600F1E01" w:rsidR="00067B1E" w:rsidRDefault="00067B1E" w:rsidP="009875B8">
      <w:pPr>
        <w:snapToGrid w:val="0"/>
        <w:spacing w:after="120" w:line="240" w:lineRule="auto"/>
        <w:jc w:val="both"/>
        <w:rPr>
          <w:b/>
          <w:bCs/>
          <w:lang w:val="fr-BE"/>
        </w:rPr>
      </w:pPr>
    </w:p>
    <w:p w14:paraId="3EFEF616" w14:textId="11A46060" w:rsidR="00067B1E" w:rsidRDefault="00067B1E" w:rsidP="009875B8">
      <w:pPr>
        <w:snapToGrid w:val="0"/>
        <w:spacing w:after="120" w:line="240" w:lineRule="auto"/>
        <w:jc w:val="both"/>
        <w:rPr>
          <w:b/>
          <w:bCs/>
          <w:lang w:val="fr-BE"/>
        </w:rPr>
      </w:pPr>
    </w:p>
    <w:p w14:paraId="6A11EDA8" w14:textId="238FB66D" w:rsidR="00067B1E" w:rsidRDefault="00067B1E" w:rsidP="009875B8">
      <w:pPr>
        <w:snapToGrid w:val="0"/>
        <w:spacing w:after="120" w:line="240" w:lineRule="auto"/>
        <w:jc w:val="both"/>
        <w:rPr>
          <w:b/>
          <w:bCs/>
          <w:lang w:val="fr-BE"/>
        </w:rPr>
      </w:pPr>
    </w:p>
    <w:p w14:paraId="5B56341C" w14:textId="77777777" w:rsidR="00067B1E" w:rsidRPr="001E481C" w:rsidRDefault="00067B1E" w:rsidP="009875B8">
      <w:pPr>
        <w:snapToGrid w:val="0"/>
        <w:spacing w:after="120" w:line="240" w:lineRule="auto"/>
        <w:jc w:val="both"/>
        <w:rPr>
          <w:b/>
          <w:bCs/>
          <w:lang w:val="fr-BE"/>
        </w:rPr>
      </w:pPr>
    </w:p>
    <w:p w14:paraId="327D00C7" w14:textId="57F68BB1" w:rsidR="00A02CF1" w:rsidRDefault="00282DC5" w:rsidP="00E62004">
      <w:pPr>
        <w:pStyle w:val="Vade-mecumtitre2"/>
      </w:pPr>
      <w:bookmarkStart w:id="745" w:name="_Toc116387816"/>
      <w:bookmarkStart w:id="746" w:name="_Toc117603284"/>
      <w:r>
        <w:t>B1</w:t>
      </w:r>
      <w:r w:rsidR="006C090D">
        <w:t>2</w:t>
      </w:r>
      <w:r>
        <w:t xml:space="preserve">.3 </w:t>
      </w:r>
      <w:bookmarkEnd w:id="745"/>
      <w:r w:rsidR="00E62004" w:rsidRPr="00E62004">
        <w:t>Évaluation des offres</w:t>
      </w:r>
      <w:bookmarkEnd w:id="746"/>
    </w:p>
    <w:p w14:paraId="52D1577C" w14:textId="77777777" w:rsidR="003042A5" w:rsidRPr="003042A5" w:rsidRDefault="003042A5" w:rsidP="003042A5">
      <w:pPr>
        <w:spacing w:after="0" w:line="240" w:lineRule="auto"/>
        <w:jc w:val="both"/>
        <w:textAlignment w:val="baseline"/>
        <w:rPr>
          <w:rFonts w:eastAsia="Times New Roman" w:cs="Times New Roman"/>
          <w:szCs w:val="22"/>
          <w:lang w:val="fr-BE"/>
        </w:rPr>
      </w:pPr>
      <w:r w:rsidRPr="003042A5">
        <w:rPr>
          <w:rFonts w:eastAsia="Times New Roman" w:cs="Times New Roman"/>
          <w:szCs w:val="22"/>
          <w:lang w:val="fr-BE"/>
        </w:rPr>
        <w:t xml:space="preserve">L'offre technique sera évaluée sur la base des pondérations et des critères suivants (pour un total de 70 %, voir également A11) : </w:t>
      </w:r>
    </w:p>
    <w:p w14:paraId="44161DF7" w14:textId="77777777" w:rsidR="003042A5" w:rsidRPr="003042A5" w:rsidRDefault="003042A5" w:rsidP="003042A5">
      <w:pPr>
        <w:spacing w:after="0" w:line="240" w:lineRule="auto"/>
        <w:jc w:val="both"/>
        <w:textAlignment w:val="baseline"/>
        <w:rPr>
          <w:rFonts w:eastAsia="Times New Roman" w:cs="Times New Roman"/>
          <w:szCs w:val="22"/>
          <w:lang w:val="fr-BE"/>
        </w:rPr>
      </w:pPr>
      <w:r w:rsidRPr="003042A5">
        <w:rPr>
          <w:rFonts w:eastAsia="Times New Roman" w:cs="Times New Roman"/>
          <w:szCs w:val="22"/>
          <w:lang w:val="fr-BE"/>
        </w:rPr>
        <w:t xml:space="preserve"> </w:t>
      </w:r>
    </w:p>
    <w:p w14:paraId="1F88787B" w14:textId="77777777" w:rsidR="003042A5" w:rsidRPr="003042A5" w:rsidRDefault="003042A5" w:rsidP="003042A5">
      <w:pPr>
        <w:spacing w:after="0" w:line="240" w:lineRule="auto"/>
        <w:jc w:val="both"/>
        <w:textAlignment w:val="baseline"/>
        <w:rPr>
          <w:rFonts w:eastAsia="Times New Roman" w:cs="Times New Roman"/>
          <w:szCs w:val="22"/>
          <w:lang w:val="fr-BE"/>
        </w:rPr>
      </w:pPr>
      <w:r w:rsidRPr="003042A5">
        <w:rPr>
          <w:rFonts w:eastAsia="Times New Roman" w:cs="Times New Roman"/>
          <w:szCs w:val="22"/>
          <w:lang w:val="fr-BE"/>
        </w:rPr>
        <w:t xml:space="preserve">Méthodologie proposée, aperçu méthodologique et compréhension des termes de référence (20 %).  </w:t>
      </w:r>
    </w:p>
    <w:p w14:paraId="5182C1CD" w14:textId="602AEF7B" w:rsidR="003042A5" w:rsidRPr="003042A5" w:rsidRDefault="003042A5" w:rsidP="003042A5">
      <w:pPr>
        <w:spacing w:after="0" w:line="240" w:lineRule="auto"/>
        <w:jc w:val="both"/>
        <w:textAlignment w:val="baseline"/>
        <w:rPr>
          <w:rFonts w:eastAsia="Times New Roman" w:cs="Times New Roman"/>
          <w:szCs w:val="22"/>
          <w:lang w:val="fr-BE"/>
        </w:rPr>
      </w:pPr>
      <w:r w:rsidRPr="003042A5">
        <w:rPr>
          <w:rFonts w:eastAsia="Times New Roman" w:cs="Times New Roman"/>
          <w:szCs w:val="22"/>
          <w:lang w:val="fr-BE"/>
        </w:rPr>
        <w:t>Approche pratique de l'évaluation par phase et répartition des tâches (</w:t>
      </w:r>
      <w:r w:rsidR="00E75902">
        <w:rPr>
          <w:rFonts w:eastAsia="Times New Roman" w:cs="Times New Roman"/>
          <w:szCs w:val="22"/>
          <w:lang w:val="fr-BE"/>
        </w:rPr>
        <w:t>15</w:t>
      </w:r>
      <w:r w:rsidRPr="003042A5">
        <w:rPr>
          <w:rFonts w:eastAsia="Times New Roman" w:cs="Times New Roman"/>
          <w:szCs w:val="22"/>
          <w:lang w:val="fr-BE"/>
        </w:rPr>
        <w:t xml:space="preserve"> %) </w:t>
      </w:r>
    </w:p>
    <w:p w14:paraId="2051BB61" w14:textId="77777777" w:rsidR="003042A5" w:rsidRPr="003042A5" w:rsidRDefault="003042A5" w:rsidP="003042A5">
      <w:pPr>
        <w:spacing w:after="0" w:line="240" w:lineRule="auto"/>
        <w:jc w:val="both"/>
        <w:textAlignment w:val="baseline"/>
        <w:rPr>
          <w:rFonts w:eastAsia="Times New Roman" w:cs="Times New Roman"/>
          <w:szCs w:val="22"/>
          <w:lang w:val="fr-BE"/>
        </w:rPr>
      </w:pPr>
      <w:r w:rsidRPr="003042A5">
        <w:rPr>
          <w:rFonts w:eastAsia="Times New Roman" w:cs="Times New Roman"/>
          <w:szCs w:val="22"/>
          <w:lang w:val="fr-BE"/>
        </w:rPr>
        <w:t xml:space="preserve">Expertise et expérience du chef d'équipe (15 %) concernant : </w:t>
      </w:r>
    </w:p>
    <w:p w14:paraId="7A8E2CE9" w14:textId="77777777" w:rsidR="003042A5" w:rsidRPr="003042A5" w:rsidRDefault="003042A5" w:rsidP="003042A5">
      <w:pPr>
        <w:numPr>
          <w:ilvl w:val="0"/>
          <w:numId w:val="50"/>
        </w:numPr>
        <w:spacing w:after="0" w:line="240" w:lineRule="auto"/>
        <w:jc w:val="both"/>
        <w:textAlignment w:val="baseline"/>
        <w:rPr>
          <w:rFonts w:eastAsia="Times New Roman" w:cs="Times New Roman"/>
          <w:szCs w:val="22"/>
          <w:lang w:val="nl-NL"/>
        </w:rPr>
      </w:pPr>
      <w:r w:rsidRPr="003042A5">
        <w:rPr>
          <w:rFonts w:eastAsia="Times New Roman" w:cs="Times New Roman"/>
          <w:szCs w:val="22"/>
          <w:lang w:val="nl-NL"/>
        </w:rPr>
        <w:t xml:space="preserve">les compétences linguistiques requises ; </w:t>
      </w:r>
    </w:p>
    <w:p w14:paraId="3B5DDB15" w14:textId="0B9BECD2" w:rsidR="003042A5" w:rsidRPr="003042A5" w:rsidRDefault="003042A5" w:rsidP="003042A5">
      <w:pPr>
        <w:numPr>
          <w:ilvl w:val="0"/>
          <w:numId w:val="50"/>
        </w:numPr>
        <w:spacing w:after="0" w:line="240" w:lineRule="auto"/>
        <w:jc w:val="both"/>
        <w:textAlignment w:val="baseline"/>
        <w:rPr>
          <w:rFonts w:eastAsia="Times New Roman" w:cs="Times New Roman"/>
          <w:szCs w:val="22"/>
          <w:lang w:val="fr-BE"/>
        </w:rPr>
      </w:pPr>
      <w:r w:rsidRPr="003042A5">
        <w:rPr>
          <w:rFonts w:eastAsia="Times New Roman" w:cs="Times New Roman"/>
          <w:szCs w:val="22"/>
          <w:lang w:val="fr-BE"/>
        </w:rPr>
        <w:t xml:space="preserve">la connaissance du contexte de la Coopération belge au </w:t>
      </w:r>
      <w:r w:rsidR="0097283F">
        <w:rPr>
          <w:rFonts w:eastAsia="Times New Roman" w:cs="Times New Roman"/>
          <w:szCs w:val="22"/>
          <w:lang w:val="fr-BE"/>
        </w:rPr>
        <w:t>D</w:t>
      </w:r>
      <w:r w:rsidRPr="003042A5">
        <w:rPr>
          <w:rFonts w:eastAsia="Times New Roman" w:cs="Times New Roman"/>
          <w:szCs w:val="22"/>
          <w:lang w:val="fr-BE"/>
        </w:rPr>
        <w:t xml:space="preserve">éveloppement ; </w:t>
      </w:r>
    </w:p>
    <w:p w14:paraId="1AAA98F6" w14:textId="77777777" w:rsidR="003042A5" w:rsidRPr="003042A5" w:rsidRDefault="003042A5" w:rsidP="003042A5">
      <w:pPr>
        <w:numPr>
          <w:ilvl w:val="0"/>
          <w:numId w:val="50"/>
        </w:numPr>
        <w:spacing w:after="0" w:line="240" w:lineRule="auto"/>
        <w:jc w:val="both"/>
        <w:textAlignment w:val="baseline"/>
        <w:rPr>
          <w:rFonts w:eastAsia="Times New Roman" w:cs="Times New Roman"/>
          <w:szCs w:val="22"/>
          <w:lang w:val="fr-BE"/>
        </w:rPr>
      </w:pPr>
      <w:r w:rsidRPr="003042A5">
        <w:rPr>
          <w:rFonts w:eastAsia="Times New Roman" w:cs="Times New Roman"/>
          <w:szCs w:val="22"/>
          <w:lang w:val="fr-BE"/>
        </w:rPr>
        <w:t xml:space="preserve">la connaissance des questions de fragilité à l’échelle internationale ; </w:t>
      </w:r>
    </w:p>
    <w:p w14:paraId="1DBAD12A" w14:textId="77777777" w:rsidR="003042A5" w:rsidRPr="003042A5" w:rsidRDefault="003042A5" w:rsidP="003042A5">
      <w:pPr>
        <w:numPr>
          <w:ilvl w:val="0"/>
          <w:numId w:val="50"/>
        </w:numPr>
        <w:spacing w:after="0" w:line="240" w:lineRule="auto"/>
        <w:jc w:val="both"/>
        <w:textAlignment w:val="baseline"/>
        <w:rPr>
          <w:rFonts w:eastAsia="Times New Roman" w:cs="Times New Roman"/>
          <w:szCs w:val="22"/>
          <w:lang w:val="fr-BE"/>
        </w:rPr>
      </w:pPr>
      <w:r w:rsidRPr="003042A5">
        <w:rPr>
          <w:rFonts w:eastAsia="Times New Roman" w:cs="Times New Roman"/>
          <w:szCs w:val="22"/>
          <w:lang w:val="fr-BE"/>
        </w:rPr>
        <w:t>la méthodologie d'évaluation, plus particulièrement dans les contextes fragiles</w:t>
      </w:r>
    </w:p>
    <w:p w14:paraId="22F6E9CA" w14:textId="77777777" w:rsidR="003042A5" w:rsidRPr="003042A5" w:rsidRDefault="003042A5" w:rsidP="003042A5">
      <w:pPr>
        <w:spacing w:after="0" w:line="240" w:lineRule="auto"/>
        <w:jc w:val="both"/>
        <w:textAlignment w:val="baseline"/>
        <w:rPr>
          <w:rFonts w:eastAsia="Times New Roman" w:cs="Times New Roman"/>
          <w:szCs w:val="22"/>
          <w:lang w:val="fr-BE"/>
        </w:rPr>
      </w:pPr>
      <w:r w:rsidRPr="003042A5">
        <w:rPr>
          <w:rFonts w:eastAsia="Times New Roman" w:cs="Times New Roman"/>
          <w:szCs w:val="22"/>
          <w:lang w:val="fr-BE"/>
        </w:rPr>
        <w:t xml:space="preserve"> </w:t>
      </w:r>
    </w:p>
    <w:p w14:paraId="7573A054" w14:textId="55E1A0EF" w:rsidR="003042A5" w:rsidRPr="003042A5" w:rsidRDefault="003042A5" w:rsidP="003042A5">
      <w:pPr>
        <w:spacing w:after="0" w:line="240" w:lineRule="auto"/>
        <w:jc w:val="both"/>
        <w:textAlignment w:val="baseline"/>
        <w:rPr>
          <w:rFonts w:eastAsia="Times New Roman" w:cs="Times New Roman"/>
          <w:szCs w:val="22"/>
          <w:lang w:val="fr-BE"/>
        </w:rPr>
      </w:pPr>
      <w:r w:rsidRPr="003042A5">
        <w:rPr>
          <w:rFonts w:eastAsia="Times New Roman" w:cs="Times New Roman"/>
          <w:szCs w:val="22"/>
          <w:lang w:val="fr-BE"/>
        </w:rPr>
        <w:t>Expertise et expérience des membres de l'équipe (</w:t>
      </w:r>
      <w:r w:rsidR="00E75902">
        <w:rPr>
          <w:rFonts w:eastAsia="Times New Roman" w:cs="Times New Roman"/>
          <w:szCs w:val="22"/>
          <w:lang w:val="fr-BE"/>
        </w:rPr>
        <w:t>20</w:t>
      </w:r>
      <w:r w:rsidRPr="003042A5">
        <w:rPr>
          <w:rFonts w:eastAsia="Times New Roman" w:cs="Times New Roman"/>
          <w:szCs w:val="22"/>
          <w:lang w:val="fr-BE"/>
        </w:rPr>
        <w:t xml:space="preserve"> %) concernant : </w:t>
      </w:r>
    </w:p>
    <w:p w14:paraId="6FDAAE53" w14:textId="77777777" w:rsidR="003042A5" w:rsidRPr="003042A5" w:rsidRDefault="003042A5" w:rsidP="003042A5">
      <w:pPr>
        <w:numPr>
          <w:ilvl w:val="0"/>
          <w:numId w:val="51"/>
        </w:numPr>
        <w:spacing w:after="0" w:line="240" w:lineRule="auto"/>
        <w:jc w:val="both"/>
        <w:textAlignment w:val="baseline"/>
        <w:rPr>
          <w:rFonts w:eastAsia="Times New Roman" w:cs="Times New Roman"/>
          <w:szCs w:val="22"/>
          <w:lang w:val="nl-NL"/>
        </w:rPr>
      </w:pPr>
      <w:r w:rsidRPr="003042A5">
        <w:rPr>
          <w:rFonts w:eastAsia="Times New Roman" w:cs="Times New Roman"/>
          <w:szCs w:val="22"/>
          <w:lang w:val="nl-NL"/>
        </w:rPr>
        <w:t xml:space="preserve">les compétences linguistiques requises ; </w:t>
      </w:r>
    </w:p>
    <w:p w14:paraId="335E9113" w14:textId="6DDD6940" w:rsidR="003042A5" w:rsidRPr="003042A5" w:rsidRDefault="003042A5" w:rsidP="003042A5">
      <w:pPr>
        <w:numPr>
          <w:ilvl w:val="0"/>
          <w:numId w:val="51"/>
        </w:numPr>
        <w:spacing w:after="0" w:line="240" w:lineRule="auto"/>
        <w:jc w:val="both"/>
        <w:textAlignment w:val="baseline"/>
        <w:rPr>
          <w:rFonts w:eastAsia="Times New Roman" w:cs="Times New Roman"/>
          <w:szCs w:val="22"/>
          <w:lang w:val="fr-BE"/>
        </w:rPr>
      </w:pPr>
      <w:r w:rsidRPr="003042A5">
        <w:rPr>
          <w:rFonts w:eastAsia="Times New Roman" w:cs="Times New Roman"/>
          <w:szCs w:val="22"/>
          <w:lang w:val="fr-BE"/>
        </w:rPr>
        <w:t xml:space="preserve">la connaissance du contexte de la Coopération belge au </w:t>
      </w:r>
      <w:r w:rsidR="0097283F">
        <w:rPr>
          <w:rFonts w:eastAsia="Times New Roman" w:cs="Times New Roman"/>
          <w:szCs w:val="22"/>
          <w:lang w:val="fr-BE"/>
        </w:rPr>
        <w:t>D</w:t>
      </w:r>
      <w:r w:rsidRPr="003042A5">
        <w:rPr>
          <w:rFonts w:eastAsia="Times New Roman" w:cs="Times New Roman"/>
          <w:szCs w:val="22"/>
          <w:lang w:val="fr-BE"/>
        </w:rPr>
        <w:t xml:space="preserve">éveloppement ; </w:t>
      </w:r>
    </w:p>
    <w:p w14:paraId="4DF06789" w14:textId="77777777" w:rsidR="003042A5" w:rsidRPr="003042A5" w:rsidRDefault="003042A5" w:rsidP="003042A5">
      <w:pPr>
        <w:numPr>
          <w:ilvl w:val="0"/>
          <w:numId w:val="51"/>
        </w:numPr>
        <w:spacing w:after="0" w:line="240" w:lineRule="auto"/>
        <w:jc w:val="both"/>
        <w:textAlignment w:val="baseline"/>
        <w:rPr>
          <w:rFonts w:eastAsia="Times New Roman" w:cs="Times New Roman"/>
          <w:szCs w:val="22"/>
          <w:lang w:val="fr-BE"/>
        </w:rPr>
      </w:pPr>
      <w:r w:rsidRPr="003042A5">
        <w:rPr>
          <w:rFonts w:eastAsia="Times New Roman" w:cs="Times New Roman"/>
          <w:szCs w:val="22"/>
          <w:lang w:val="fr-BE"/>
        </w:rPr>
        <w:t xml:space="preserve">la connaissance des questions de fragilité à l’échelle internationale ; </w:t>
      </w:r>
    </w:p>
    <w:p w14:paraId="1FEE8D3D" w14:textId="6065B8C2" w:rsidR="006C5DC8" w:rsidRDefault="003042A5" w:rsidP="00C33DF4">
      <w:pPr>
        <w:numPr>
          <w:ilvl w:val="0"/>
          <w:numId w:val="51"/>
        </w:numPr>
        <w:spacing w:after="0" w:line="240" w:lineRule="auto"/>
        <w:jc w:val="both"/>
        <w:textAlignment w:val="baseline"/>
        <w:rPr>
          <w:rFonts w:eastAsia="Times New Roman" w:cs="Times New Roman"/>
          <w:szCs w:val="22"/>
          <w:lang w:val="fr-BE"/>
        </w:rPr>
      </w:pPr>
      <w:r w:rsidRPr="003042A5">
        <w:rPr>
          <w:rFonts w:eastAsia="Times New Roman" w:cs="Times New Roman"/>
          <w:szCs w:val="22"/>
          <w:lang w:val="fr-BE"/>
        </w:rPr>
        <w:t>la méthodologie d'évaluation, plus particulièrement dans les contextes fragiles.</w:t>
      </w:r>
    </w:p>
    <w:p w14:paraId="235E8A10" w14:textId="0EBACCEA" w:rsidR="00F130FB" w:rsidRDefault="004F6B57" w:rsidP="00C33DF4">
      <w:pPr>
        <w:numPr>
          <w:ilvl w:val="0"/>
          <w:numId w:val="51"/>
        </w:numPr>
        <w:spacing w:after="0" w:line="240" w:lineRule="auto"/>
        <w:jc w:val="both"/>
        <w:textAlignment w:val="baseline"/>
        <w:rPr>
          <w:rFonts w:eastAsia="Times New Roman" w:cs="Times New Roman"/>
          <w:szCs w:val="22"/>
          <w:lang w:val="fr-BE"/>
        </w:rPr>
      </w:pPr>
      <w:r>
        <w:rPr>
          <w:rFonts w:eastAsia="Times New Roman" w:cs="Times New Roman"/>
          <w:szCs w:val="22"/>
          <w:lang w:val="fr-BE"/>
        </w:rPr>
        <w:t>a</w:t>
      </w:r>
      <w:r w:rsidR="00F130FB">
        <w:rPr>
          <w:rFonts w:eastAsia="Times New Roman" w:cs="Times New Roman"/>
          <w:szCs w:val="22"/>
          <w:lang w:val="fr-BE"/>
        </w:rPr>
        <w:t>nalyse contextuelle</w:t>
      </w:r>
    </w:p>
    <w:p w14:paraId="396DC836" w14:textId="7575C099" w:rsidR="00C33DF4" w:rsidRPr="006A3299" w:rsidRDefault="004F6B57" w:rsidP="007462A4">
      <w:pPr>
        <w:numPr>
          <w:ilvl w:val="0"/>
          <w:numId w:val="51"/>
        </w:numPr>
        <w:spacing w:after="0" w:line="240" w:lineRule="auto"/>
        <w:jc w:val="both"/>
        <w:textAlignment w:val="baseline"/>
        <w:rPr>
          <w:rFonts w:eastAsia="Times New Roman" w:cs="Times New Roman"/>
          <w:szCs w:val="22"/>
          <w:lang w:val="fr-BE"/>
        </w:rPr>
      </w:pPr>
      <w:r w:rsidRPr="006A3299">
        <w:rPr>
          <w:rFonts w:eastAsia="Times New Roman" w:cs="Times New Roman"/>
          <w:szCs w:val="22"/>
          <w:lang w:val="fr-BE"/>
        </w:rPr>
        <w:t xml:space="preserve">les </w:t>
      </w:r>
      <w:r w:rsidR="007C1C33" w:rsidRPr="006A3299">
        <w:rPr>
          <w:rFonts w:eastAsia="Times New Roman" w:cs="Times New Roman"/>
          <w:szCs w:val="22"/>
          <w:lang w:val="fr-BE"/>
        </w:rPr>
        <w:t xml:space="preserve">dynamiques de développement et de fragilité dans les 6 pays partenaires sélectionnés. L'équipe d'évaluation devrait également s'appuyer sur l'expertise </w:t>
      </w:r>
      <w:r w:rsidR="000658ED" w:rsidRPr="006A3299">
        <w:rPr>
          <w:rFonts w:eastAsia="Times New Roman" w:cs="Times New Roman"/>
          <w:szCs w:val="22"/>
          <w:lang w:val="fr-BE"/>
        </w:rPr>
        <w:t xml:space="preserve">venant </w:t>
      </w:r>
      <w:r w:rsidR="007C1C33" w:rsidRPr="006A3299">
        <w:rPr>
          <w:rFonts w:eastAsia="Times New Roman" w:cs="Times New Roman"/>
          <w:szCs w:val="22"/>
          <w:lang w:val="fr-BE"/>
        </w:rPr>
        <w:t>des pays partenaires eux-mêmes. Cela signifie un rôle à part entière en tant qu'évaluateur au sein de l'équipe et pas seulement en tant que facilitateur des missions de terrain</w:t>
      </w:r>
      <w:r w:rsidR="000658ED" w:rsidRPr="006A3299">
        <w:rPr>
          <w:rFonts w:eastAsia="Times New Roman" w:cs="Times New Roman"/>
          <w:szCs w:val="22"/>
          <w:lang w:val="fr-BE"/>
        </w:rPr>
        <w:t>.</w:t>
      </w:r>
    </w:p>
    <w:p w14:paraId="3EEA5B69" w14:textId="64B04415" w:rsidR="00C33DF4" w:rsidRDefault="00C33DF4" w:rsidP="00C33DF4">
      <w:pPr>
        <w:spacing w:after="0" w:line="240" w:lineRule="auto"/>
        <w:jc w:val="both"/>
        <w:textAlignment w:val="baseline"/>
        <w:rPr>
          <w:rFonts w:eastAsia="Times New Roman" w:cs="Times New Roman"/>
          <w:szCs w:val="22"/>
          <w:lang w:val="fr-BE"/>
        </w:rPr>
      </w:pPr>
    </w:p>
    <w:p w14:paraId="5930D2B6" w14:textId="2AD29FF3" w:rsidR="00C33DF4" w:rsidRDefault="00C33DF4" w:rsidP="00C33DF4">
      <w:pPr>
        <w:spacing w:after="0" w:line="240" w:lineRule="auto"/>
        <w:jc w:val="both"/>
        <w:textAlignment w:val="baseline"/>
        <w:rPr>
          <w:rFonts w:eastAsia="Times New Roman" w:cs="Times New Roman"/>
          <w:szCs w:val="22"/>
          <w:lang w:val="fr-BE"/>
        </w:rPr>
      </w:pPr>
    </w:p>
    <w:p w14:paraId="6D4EF6C8" w14:textId="79B7DC2B" w:rsidR="00C33DF4" w:rsidRDefault="00C33DF4" w:rsidP="00C33DF4">
      <w:pPr>
        <w:spacing w:after="0" w:line="240" w:lineRule="auto"/>
        <w:jc w:val="both"/>
        <w:textAlignment w:val="baseline"/>
        <w:rPr>
          <w:rFonts w:eastAsia="Times New Roman" w:cs="Times New Roman"/>
          <w:szCs w:val="22"/>
          <w:lang w:val="fr-BE"/>
        </w:rPr>
      </w:pPr>
    </w:p>
    <w:p w14:paraId="1D864998" w14:textId="226F1643" w:rsidR="00C33DF4" w:rsidRDefault="00C33DF4" w:rsidP="00C33DF4">
      <w:pPr>
        <w:spacing w:after="0" w:line="240" w:lineRule="auto"/>
        <w:jc w:val="both"/>
        <w:textAlignment w:val="baseline"/>
        <w:rPr>
          <w:rFonts w:eastAsia="Times New Roman" w:cs="Times New Roman"/>
          <w:szCs w:val="22"/>
          <w:lang w:val="fr-BE"/>
        </w:rPr>
      </w:pPr>
    </w:p>
    <w:p w14:paraId="1AB5D777" w14:textId="0B504B47" w:rsidR="00C33DF4" w:rsidRDefault="00C33DF4" w:rsidP="00C33DF4">
      <w:pPr>
        <w:spacing w:after="0" w:line="240" w:lineRule="auto"/>
        <w:jc w:val="both"/>
        <w:textAlignment w:val="baseline"/>
        <w:rPr>
          <w:rFonts w:eastAsia="Times New Roman" w:cs="Times New Roman"/>
          <w:szCs w:val="22"/>
          <w:lang w:val="fr-BE"/>
        </w:rPr>
      </w:pPr>
    </w:p>
    <w:p w14:paraId="22649E37" w14:textId="4A580DE1" w:rsidR="00C33DF4" w:rsidRDefault="00C33DF4" w:rsidP="00C33DF4">
      <w:pPr>
        <w:spacing w:after="0" w:line="240" w:lineRule="auto"/>
        <w:jc w:val="both"/>
        <w:textAlignment w:val="baseline"/>
        <w:rPr>
          <w:rFonts w:eastAsia="Times New Roman" w:cs="Times New Roman"/>
          <w:szCs w:val="22"/>
          <w:lang w:val="fr-BE"/>
        </w:rPr>
      </w:pPr>
    </w:p>
    <w:p w14:paraId="2F194C01" w14:textId="6AC75BF7" w:rsidR="00C33DF4" w:rsidRDefault="00C33DF4" w:rsidP="00C33DF4">
      <w:pPr>
        <w:spacing w:after="0" w:line="240" w:lineRule="auto"/>
        <w:jc w:val="both"/>
        <w:textAlignment w:val="baseline"/>
        <w:rPr>
          <w:rFonts w:eastAsia="Times New Roman" w:cs="Times New Roman"/>
          <w:szCs w:val="22"/>
          <w:lang w:val="fr-BE"/>
        </w:rPr>
      </w:pPr>
    </w:p>
    <w:p w14:paraId="7D2005F7" w14:textId="561F5083" w:rsidR="00C33DF4" w:rsidRDefault="00C33DF4" w:rsidP="00C33DF4">
      <w:pPr>
        <w:spacing w:after="0" w:line="240" w:lineRule="auto"/>
        <w:jc w:val="both"/>
        <w:textAlignment w:val="baseline"/>
        <w:rPr>
          <w:rFonts w:eastAsia="Times New Roman" w:cs="Times New Roman"/>
          <w:szCs w:val="22"/>
          <w:lang w:val="fr-BE"/>
        </w:rPr>
      </w:pPr>
    </w:p>
    <w:p w14:paraId="0A60A0C9" w14:textId="3AC848A8" w:rsidR="00C33DF4" w:rsidRDefault="00C33DF4" w:rsidP="00C33DF4">
      <w:pPr>
        <w:spacing w:after="0" w:line="240" w:lineRule="auto"/>
        <w:jc w:val="both"/>
        <w:textAlignment w:val="baseline"/>
        <w:rPr>
          <w:rFonts w:eastAsia="Times New Roman" w:cs="Times New Roman"/>
          <w:szCs w:val="22"/>
          <w:lang w:val="fr-BE"/>
        </w:rPr>
      </w:pPr>
    </w:p>
    <w:p w14:paraId="30981805" w14:textId="44860092" w:rsidR="00C33DF4" w:rsidRDefault="00C33DF4" w:rsidP="00C33DF4">
      <w:pPr>
        <w:spacing w:after="0" w:line="240" w:lineRule="auto"/>
        <w:jc w:val="both"/>
        <w:textAlignment w:val="baseline"/>
        <w:rPr>
          <w:rFonts w:eastAsia="Times New Roman" w:cs="Times New Roman"/>
          <w:szCs w:val="22"/>
          <w:lang w:val="fr-BE"/>
        </w:rPr>
      </w:pPr>
    </w:p>
    <w:p w14:paraId="63D0C67D" w14:textId="0D144094" w:rsidR="00C33DF4" w:rsidRDefault="00C33DF4" w:rsidP="00C33DF4">
      <w:pPr>
        <w:spacing w:after="0" w:line="240" w:lineRule="auto"/>
        <w:jc w:val="both"/>
        <w:textAlignment w:val="baseline"/>
        <w:rPr>
          <w:rFonts w:eastAsia="Times New Roman" w:cs="Times New Roman"/>
          <w:szCs w:val="22"/>
          <w:lang w:val="fr-BE"/>
        </w:rPr>
      </w:pPr>
    </w:p>
    <w:p w14:paraId="5CFE231D" w14:textId="01B41E63" w:rsidR="00C33DF4" w:rsidRDefault="00C33DF4" w:rsidP="00C33DF4">
      <w:pPr>
        <w:spacing w:after="0" w:line="240" w:lineRule="auto"/>
        <w:jc w:val="both"/>
        <w:textAlignment w:val="baseline"/>
        <w:rPr>
          <w:rFonts w:eastAsia="Times New Roman" w:cs="Times New Roman"/>
          <w:szCs w:val="22"/>
          <w:lang w:val="fr-BE"/>
        </w:rPr>
      </w:pPr>
    </w:p>
    <w:p w14:paraId="75FE7CA0" w14:textId="6409E620" w:rsidR="00C33DF4" w:rsidRDefault="00C33DF4" w:rsidP="00C33DF4">
      <w:pPr>
        <w:spacing w:after="0" w:line="240" w:lineRule="auto"/>
        <w:jc w:val="both"/>
        <w:textAlignment w:val="baseline"/>
        <w:rPr>
          <w:rFonts w:eastAsia="Times New Roman" w:cs="Times New Roman"/>
          <w:szCs w:val="22"/>
          <w:lang w:val="fr-BE"/>
        </w:rPr>
      </w:pPr>
    </w:p>
    <w:p w14:paraId="6ACE3902" w14:textId="5F523EB4" w:rsidR="00C33DF4" w:rsidRDefault="00C33DF4" w:rsidP="00C33DF4">
      <w:pPr>
        <w:spacing w:after="0" w:line="240" w:lineRule="auto"/>
        <w:jc w:val="both"/>
        <w:textAlignment w:val="baseline"/>
        <w:rPr>
          <w:rFonts w:eastAsia="Times New Roman" w:cs="Times New Roman"/>
          <w:szCs w:val="22"/>
          <w:lang w:val="fr-BE"/>
        </w:rPr>
      </w:pPr>
    </w:p>
    <w:p w14:paraId="713C5AE8" w14:textId="0B8C57C0" w:rsidR="00C33DF4" w:rsidRDefault="00C33DF4" w:rsidP="00C33DF4">
      <w:pPr>
        <w:spacing w:after="0" w:line="240" w:lineRule="auto"/>
        <w:jc w:val="both"/>
        <w:textAlignment w:val="baseline"/>
        <w:rPr>
          <w:rFonts w:eastAsia="Times New Roman" w:cs="Times New Roman"/>
          <w:szCs w:val="22"/>
          <w:lang w:val="fr-BE"/>
        </w:rPr>
      </w:pPr>
    </w:p>
    <w:p w14:paraId="220F0ED5" w14:textId="0C4BC3F2" w:rsidR="00C33DF4" w:rsidRDefault="00C33DF4" w:rsidP="00C33DF4">
      <w:pPr>
        <w:spacing w:after="0" w:line="240" w:lineRule="auto"/>
        <w:jc w:val="both"/>
        <w:textAlignment w:val="baseline"/>
        <w:rPr>
          <w:rFonts w:eastAsia="Times New Roman" w:cs="Times New Roman"/>
          <w:szCs w:val="22"/>
          <w:lang w:val="fr-BE"/>
        </w:rPr>
      </w:pPr>
    </w:p>
    <w:p w14:paraId="51A8D595" w14:textId="3FE70F18" w:rsidR="00C33DF4" w:rsidRDefault="00C33DF4" w:rsidP="00C33DF4">
      <w:pPr>
        <w:spacing w:after="0" w:line="240" w:lineRule="auto"/>
        <w:jc w:val="both"/>
        <w:textAlignment w:val="baseline"/>
        <w:rPr>
          <w:rFonts w:eastAsia="Times New Roman" w:cs="Times New Roman"/>
          <w:szCs w:val="22"/>
          <w:lang w:val="fr-BE"/>
        </w:rPr>
      </w:pPr>
    </w:p>
    <w:p w14:paraId="1E3AD06E" w14:textId="77777777" w:rsidR="00C33DF4" w:rsidRPr="00C33DF4" w:rsidRDefault="00C33DF4" w:rsidP="00C33DF4">
      <w:pPr>
        <w:spacing w:after="0" w:line="240" w:lineRule="auto"/>
        <w:jc w:val="both"/>
        <w:textAlignment w:val="baseline"/>
        <w:rPr>
          <w:rFonts w:eastAsia="Times New Roman" w:cs="Times New Roman"/>
          <w:szCs w:val="22"/>
          <w:lang w:val="fr-BE"/>
        </w:rPr>
      </w:pPr>
    </w:p>
    <w:p w14:paraId="29D6E28C" w14:textId="33BDEA6E" w:rsidR="00BF3335" w:rsidRPr="003042A5" w:rsidRDefault="00BF3335" w:rsidP="00BF3335">
      <w:pPr>
        <w:pStyle w:val="Vade-Mecum0"/>
      </w:pPr>
    </w:p>
    <w:p w14:paraId="17D74213" w14:textId="380E8AA6" w:rsidR="00BF3335" w:rsidRPr="003042A5" w:rsidRDefault="00BF3335" w:rsidP="00BF3335">
      <w:pPr>
        <w:pStyle w:val="Vade-Mecum0"/>
      </w:pPr>
    </w:p>
    <w:p w14:paraId="20E9E18A" w14:textId="477E3FCD" w:rsidR="00BF3335" w:rsidRPr="003042A5" w:rsidRDefault="00BF3335" w:rsidP="00BF3335">
      <w:pPr>
        <w:pStyle w:val="Vade-Mecum0"/>
      </w:pPr>
    </w:p>
    <w:p w14:paraId="51627F0D" w14:textId="4AB0FEEC" w:rsidR="00BF3335" w:rsidRPr="003042A5" w:rsidRDefault="00BF3335" w:rsidP="00BF3335">
      <w:pPr>
        <w:pStyle w:val="Vade-Mecum0"/>
      </w:pPr>
    </w:p>
    <w:p w14:paraId="03307E7A" w14:textId="7670C085" w:rsidR="00BF3335" w:rsidRPr="003042A5" w:rsidRDefault="00BF3335" w:rsidP="00BF3335">
      <w:pPr>
        <w:pStyle w:val="Vade-Mecum0"/>
      </w:pPr>
    </w:p>
    <w:p w14:paraId="7CB909D3" w14:textId="45010EC4" w:rsidR="00BF3335" w:rsidRPr="00A9109A" w:rsidRDefault="00BF3335" w:rsidP="00BF3335">
      <w:pPr>
        <w:pStyle w:val="Vade-mecumtitre1"/>
        <w:numPr>
          <w:ilvl w:val="0"/>
          <w:numId w:val="0"/>
        </w:numPr>
        <w:ind w:left="432" w:hanging="432"/>
        <w:rPr>
          <w:sz w:val="40"/>
          <w:szCs w:val="40"/>
          <w:lang w:val="fr-BE"/>
        </w:rPr>
      </w:pPr>
      <w:bookmarkStart w:id="747" w:name="_Toc29741234"/>
      <w:bookmarkStart w:id="748" w:name="_Toc35550158"/>
      <w:bookmarkStart w:id="749" w:name="_Toc117603285"/>
      <w:r w:rsidRPr="00A9109A">
        <w:rPr>
          <w:sz w:val="40"/>
          <w:szCs w:val="40"/>
          <w:lang w:val="fr-BE"/>
        </w:rPr>
        <w:t xml:space="preserve">C. </w:t>
      </w:r>
      <w:bookmarkEnd w:id="747"/>
      <w:bookmarkEnd w:id="748"/>
      <w:r w:rsidR="009E63B0" w:rsidRPr="00A9109A">
        <w:rPr>
          <w:sz w:val="40"/>
          <w:szCs w:val="40"/>
          <w:lang w:val="fr-BE"/>
        </w:rPr>
        <w:t>ANNEXES</w:t>
      </w:r>
      <w:bookmarkEnd w:id="749"/>
    </w:p>
    <w:p w14:paraId="2FBED67A" w14:textId="6A6EC9F6" w:rsidR="00BF3335" w:rsidRPr="009E63B0" w:rsidRDefault="009E63B0" w:rsidP="009E63B0">
      <w:pPr>
        <w:pStyle w:val="Vade-Mecum0"/>
      </w:pPr>
      <w:bookmarkStart w:id="750" w:name="_Toc29741235"/>
      <w:r>
        <w:t xml:space="preserve">- </w:t>
      </w:r>
      <w:r w:rsidRPr="009E63B0">
        <w:t>Fiche de renseignements</w:t>
      </w:r>
      <w:r w:rsidRPr="009E63B0">
        <w:rPr>
          <w:rFonts w:ascii="Times New Roman" w:hAnsi="Times New Roman" w:cs="Times New Roman"/>
        </w:rPr>
        <w:t> </w:t>
      </w:r>
      <w:r w:rsidRPr="009E63B0">
        <w:t xml:space="preserve"> </w:t>
      </w:r>
      <w:r w:rsidR="00FB017C">
        <w:br/>
      </w:r>
      <w:r>
        <w:t xml:space="preserve">- </w:t>
      </w:r>
      <w:r w:rsidRPr="009E63B0">
        <w:t>Un formulaire d’offre</w:t>
      </w:r>
      <w:r w:rsidRPr="009E63B0">
        <w:rPr>
          <w:rFonts w:ascii="Times New Roman" w:hAnsi="Times New Roman" w:cs="Times New Roman"/>
        </w:rPr>
        <w:t> </w:t>
      </w:r>
      <w:r w:rsidRPr="009E63B0">
        <w:t xml:space="preserve"> </w:t>
      </w:r>
      <w:r w:rsidR="00FB017C">
        <w:br/>
      </w:r>
      <w:r>
        <w:t xml:space="preserve">- </w:t>
      </w:r>
      <w:hyperlink r:id="rId32" w:history="1">
        <w:r w:rsidRPr="009E63B0">
          <w:rPr>
            <w:rStyle w:val="Hyperlink"/>
          </w:rPr>
          <w:t>https://dume.publicprocurement.be</w:t>
        </w:r>
      </w:hyperlink>
      <w:r w:rsidRPr="009E63B0">
        <w:t xml:space="preserve"> </w:t>
      </w:r>
      <w:r w:rsidRPr="009E63B0">
        <w:rPr>
          <w:rFonts w:ascii="Times New Roman" w:hAnsi="Times New Roman" w:cs="Times New Roman"/>
        </w:rPr>
        <w:t> </w:t>
      </w:r>
    </w:p>
    <w:p w14:paraId="4736D12C" w14:textId="76B2BE75" w:rsidR="00BF3335" w:rsidRPr="00252BEE" w:rsidRDefault="00BF3335" w:rsidP="00BF3335">
      <w:pPr>
        <w:pStyle w:val="Vade-mecumtitre1"/>
        <w:numPr>
          <w:ilvl w:val="0"/>
          <w:numId w:val="0"/>
        </w:numPr>
        <w:ind w:left="432" w:hanging="432"/>
        <w:rPr>
          <w:lang w:val="fr-BE"/>
        </w:rPr>
      </w:pPr>
      <w:bookmarkStart w:id="751" w:name="_Toc35550159"/>
      <w:bookmarkStart w:id="752" w:name="_Toc117603286"/>
      <w:r w:rsidRPr="00252BEE">
        <w:rPr>
          <w:lang w:val="fr-BE"/>
        </w:rPr>
        <w:t xml:space="preserve">C1. </w:t>
      </w:r>
      <w:bookmarkEnd w:id="750"/>
      <w:bookmarkEnd w:id="751"/>
      <w:r w:rsidR="00252BEE" w:rsidRPr="00252BEE">
        <w:rPr>
          <w:lang w:val="fr-BE"/>
        </w:rPr>
        <w:t>Fiche de renseignements - offre technique et financière</w:t>
      </w:r>
      <w:r w:rsidR="00252BEE" w:rsidRPr="00252BEE">
        <w:rPr>
          <w:rFonts w:ascii="Times New Roman" w:hAnsi="Times New Roman" w:cs="Times New Roman"/>
          <w:lang w:val="fr-BE"/>
        </w:rPr>
        <w:t> </w:t>
      </w:r>
      <w:bookmarkEnd w:id="752"/>
    </w:p>
    <w:p w14:paraId="1D03706F" w14:textId="1D796EF7" w:rsidR="00BF3335" w:rsidRPr="00BF3335" w:rsidRDefault="00BF3335" w:rsidP="00BF3335">
      <w:pPr>
        <w:pStyle w:val="Vade-mecumtitre2"/>
      </w:pPr>
      <w:bookmarkStart w:id="753" w:name="_Toc194484477"/>
      <w:bookmarkStart w:id="754" w:name="_Toc29741236"/>
      <w:bookmarkStart w:id="755" w:name="_Toc113544506"/>
      <w:bookmarkStart w:id="756" w:name="_Toc114066813"/>
      <w:bookmarkStart w:id="757" w:name="_Toc116387819"/>
      <w:bookmarkStart w:id="758" w:name="_Toc117603287"/>
      <w:r w:rsidRPr="00BF3335">
        <w:t xml:space="preserve">C1.1 </w:t>
      </w:r>
      <w:bookmarkEnd w:id="753"/>
      <w:bookmarkEnd w:id="754"/>
      <w:bookmarkEnd w:id="755"/>
      <w:bookmarkEnd w:id="756"/>
      <w:r w:rsidR="00252BEE">
        <w:t>Offre technique</w:t>
      </w:r>
      <w:bookmarkEnd w:id="757"/>
      <w:bookmarkEnd w:id="758"/>
      <w:r w:rsidR="00252BEE">
        <w:t xml:space="preserve"> </w:t>
      </w:r>
    </w:p>
    <w:p w14:paraId="27FD17EF" w14:textId="50B04B4E" w:rsidR="00BF3335" w:rsidRPr="00BF3335" w:rsidRDefault="008649A3" w:rsidP="00BF3335">
      <w:pPr>
        <w:pStyle w:val="Vade-Mecum0"/>
        <w:rPr>
          <w:b/>
          <w:bCs/>
          <w:lang w:val="nl-NL"/>
        </w:rPr>
      </w:pPr>
      <w:r w:rsidRPr="008649A3">
        <w:rPr>
          <w:b/>
          <w:bCs/>
          <w:lang w:val="nl-NL"/>
        </w:rPr>
        <w:t>Remarques générales</w:t>
      </w:r>
      <w:r w:rsidRPr="008649A3">
        <w:rPr>
          <w:rFonts w:ascii="Times New Roman" w:hAnsi="Times New Roman" w:cs="Times New Roman"/>
          <w:b/>
          <w:bCs/>
          <w:lang w:val="nl-NL"/>
        </w:rPr>
        <w:t>  </w:t>
      </w:r>
    </w:p>
    <w:p w14:paraId="253F41D3" w14:textId="57DECFF5" w:rsidR="008649A3" w:rsidRPr="00FB017C" w:rsidRDefault="008649A3" w:rsidP="008F7A20">
      <w:pPr>
        <w:pStyle w:val="Vade-Mecum0"/>
        <w:spacing w:line="240" w:lineRule="auto"/>
        <w:jc w:val="both"/>
      </w:pPr>
      <w:r>
        <w:t>Les soumissionnaires sont invités à lire attentivement l’entièreté du cahier spécial des charges (y compris les notes en bas de page)</w:t>
      </w:r>
      <w:r w:rsidR="00B201EB">
        <w:t xml:space="preserve"> en vue</w:t>
      </w:r>
      <w:r w:rsidR="00206EDC">
        <w:t xml:space="preserve"> de dispositions et </w:t>
      </w:r>
      <w:r>
        <w:t>obligations qui sont bien explicites dans le cahier spécial des charges. Nous rappelons également qu’en cas d’incohérence entre le cahier spécial des charges et l’offre de l’évaluateur, c’est toujours le cahier spécial des charges qui prime.</w:t>
      </w:r>
      <w:r w:rsidRPr="571290CB">
        <w:rPr>
          <w:rFonts w:ascii="Times New Roman" w:hAnsi="Times New Roman" w:cs="Times New Roman"/>
        </w:rPr>
        <w:t>  </w:t>
      </w:r>
      <w:r>
        <w:t xml:space="preserve"> </w:t>
      </w:r>
    </w:p>
    <w:p w14:paraId="03DC50B7" w14:textId="71484D64" w:rsidR="00ED4667" w:rsidRDefault="001A663C" w:rsidP="571290CB">
      <w:pPr>
        <w:pStyle w:val="Vade-Mecum0"/>
        <w:spacing w:line="240" w:lineRule="auto"/>
        <w:jc w:val="both"/>
        <w:rPr>
          <w:rFonts w:ascii="Times New Roman" w:hAnsi="Times New Roman" w:cs="Times New Roman"/>
        </w:rPr>
      </w:pPr>
      <w:r>
        <w:t xml:space="preserve">Le cahier spécial des charges, en ce compris les prescriptions techniques / termes de référence de la partie B, a été rédigé </w:t>
      </w:r>
      <w:r w:rsidR="00EF141D">
        <w:t xml:space="preserve">par le SES après consultation </w:t>
      </w:r>
      <w:r w:rsidR="00741847">
        <w:t>d’</w:t>
      </w:r>
      <w:r>
        <w:t>un ensemble d'experts internes du SPF et de représentants des parties prenantes de l'évaluation. Malgré les efforts de ces personnes, compétentes en évaluation et au niveau de l'objet de l'évaluation, le cahier spécial des charges et plus particulièrement les termes de référence peuvent contenir des éléments sujets à interprétations.</w:t>
      </w:r>
      <w:r w:rsidRPr="571290CB">
        <w:rPr>
          <w:rFonts w:ascii="Times New Roman" w:hAnsi="Times New Roman" w:cs="Times New Roman"/>
        </w:rPr>
        <w:t> </w:t>
      </w:r>
      <w:r>
        <w:t xml:space="preserve">Le soumissionnaire qui constaterait de tels éléments est invité à en faire part le plus vite possible au pouvoir adjudicateur (voir plus haut, point A4 : "Informations complémentaires"). Le pouvoir adjudicateur n’acceptera donc pas </w:t>
      </w:r>
      <w:r w:rsidR="0062056B">
        <w:t>une interprétation substantiellement différente des prescription</w:t>
      </w:r>
      <w:r w:rsidR="00254912">
        <w:t>s</w:t>
      </w:r>
      <w:r w:rsidR="0062056B">
        <w:t xml:space="preserve"> techniques d</w:t>
      </w:r>
      <w:r w:rsidR="004E0DA2">
        <w:t>ans</w:t>
      </w:r>
      <w:r w:rsidR="0062056B">
        <w:t xml:space="preserve"> l'offre</w:t>
      </w:r>
      <w:r>
        <w:t>.</w:t>
      </w:r>
      <w:r w:rsidRPr="571290CB">
        <w:rPr>
          <w:rFonts w:ascii="Times New Roman" w:hAnsi="Times New Roman" w:cs="Times New Roman"/>
        </w:rPr>
        <w:t>  </w:t>
      </w:r>
    </w:p>
    <w:p w14:paraId="2ABE592B" w14:textId="1A6416DD" w:rsidR="001A663C" w:rsidRPr="001A663C" w:rsidRDefault="001A663C" w:rsidP="001A663C">
      <w:pPr>
        <w:pStyle w:val="Vade-Mecum0"/>
        <w:spacing w:line="240" w:lineRule="auto"/>
        <w:jc w:val="both"/>
        <w:rPr>
          <w:bCs/>
        </w:rPr>
      </w:pPr>
      <w:r w:rsidRPr="001A663C">
        <w:rPr>
          <w:bCs/>
        </w:rPr>
        <w:t>Dans l’offre technique et financière, le soumissionnaire n’utilisera de préférence pas</w:t>
      </w:r>
      <w:r w:rsidRPr="001A663C">
        <w:rPr>
          <w:rFonts w:ascii="Times New Roman" w:hAnsi="Times New Roman" w:cs="Times New Roman"/>
          <w:bCs/>
        </w:rPr>
        <w:t> </w:t>
      </w:r>
      <w:r w:rsidRPr="001A663C">
        <w:rPr>
          <w:bCs/>
        </w:rPr>
        <w:t xml:space="preserve"> d</w:t>
      </w:r>
      <w:r w:rsidRPr="001A663C">
        <w:rPr>
          <w:rFonts w:cs="Roboto"/>
          <w:bCs/>
        </w:rPr>
        <w:t>’</w:t>
      </w:r>
      <w:r w:rsidRPr="001A663C">
        <w:rPr>
          <w:bCs/>
        </w:rPr>
        <w:t xml:space="preserve">expressions telles que </w:t>
      </w:r>
      <w:r w:rsidRPr="001A663C">
        <w:rPr>
          <w:rFonts w:cs="Roboto"/>
          <w:bCs/>
        </w:rPr>
        <w:t>«</w:t>
      </w:r>
      <w:r w:rsidRPr="001A663C">
        <w:rPr>
          <w:bCs/>
        </w:rPr>
        <w:t xml:space="preserve"> si le temps le permet </w:t>
      </w:r>
      <w:r w:rsidRPr="001A663C">
        <w:rPr>
          <w:rFonts w:cs="Roboto"/>
          <w:bCs/>
        </w:rPr>
        <w:t>»</w:t>
      </w:r>
      <w:r w:rsidRPr="001A663C">
        <w:rPr>
          <w:bCs/>
        </w:rPr>
        <w:t xml:space="preserve">, </w:t>
      </w:r>
      <w:r w:rsidRPr="001A663C">
        <w:rPr>
          <w:rFonts w:cs="Roboto"/>
          <w:bCs/>
        </w:rPr>
        <w:t>«</w:t>
      </w:r>
      <w:r w:rsidRPr="001A663C">
        <w:rPr>
          <w:bCs/>
        </w:rPr>
        <w:t xml:space="preserve"> si le budget le permet </w:t>
      </w:r>
      <w:r w:rsidRPr="001A663C">
        <w:rPr>
          <w:rFonts w:cs="Roboto"/>
          <w:bCs/>
        </w:rPr>
        <w:t>»</w:t>
      </w:r>
      <w:r w:rsidRPr="001A663C">
        <w:rPr>
          <w:bCs/>
        </w:rPr>
        <w:t xml:space="preserve">, </w:t>
      </w:r>
      <w:r w:rsidRPr="001A663C">
        <w:rPr>
          <w:rFonts w:cs="Roboto"/>
          <w:bCs/>
        </w:rPr>
        <w:t>«</w:t>
      </w:r>
      <w:r w:rsidRPr="001A663C">
        <w:rPr>
          <w:rFonts w:ascii="Times New Roman" w:hAnsi="Times New Roman" w:cs="Times New Roman"/>
          <w:bCs/>
        </w:rPr>
        <w:t> </w:t>
      </w:r>
      <w:r w:rsidRPr="001A663C">
        <w:rPr>
          <w:bCs/>
        </w:rPr>
        <w:t>dans la mesure du possible</w:t>
      </w:r>
      <w:r w:rsidRPr="001A663C">
        <w:rPr>
          <w:rFonts w:ascii="Times New Roman" w:hAnsi="Times New Roman" w:cs="Times New Roman"/>
          <w:bCs/>
        </w:rPr>
        <w:t> </w:t>
      </w:r>
      <w:r w:rsidRPr="001A663C">
        <w:rPr>
          <w:rFonts w:cs="Roboto"/>
          <w:bCs/>
        </w:rPr>
        <w:t>»</w:t>
      </w:r>
      <w:r w:rsidRPr="001A663C">
        <w:rPr>
          <w:bCs/>
        </w:rPr>
        <w:t xml:space="preserve">, ou </w:t>
      </w:r>
      <w:r w:rsidRPr="001A663C">
        <w:rPr>
          <w:rFonts w:cs="Roboto"/>
          <w:bCs/>
        </w:rPr>
        <w:t>«</w:t>
      </w:r>
      <w:r w:rsidRPr="001A663C">
        <w:rPr>
          <w:rFonts w:ascii="Times New Roman" w:hAnsi="Times New Roman" w:cs="Times New Roman"/>
          <w:bCs/>
        </w:rPr>
        <w:t> </w:t>
      </w:r>
      <w:r w:rsidRPr="001A663C">
        <w:rPr>
          <w:bCs/>
        </w:rPr>
        <w:t>dans la mesure o</w:t>
      </w:r>
      <w:r w:rsidR="00254912">
        <w:rPr>
          <w:bCs/>
        </w:rPr>
        <w:t>ù</w:t>
      </w:r>
      <w:r w:rsidRPr="001A663C">
        <w:rPr>
          <w:bCs/>
        </w:rPr>
        <w:t xml:space="preserve"> les documents sont disponibles</w:t>
      </w:r>
      <w:r w:rsidRPr="001A663C">
        <w:rPr>
          <w:rFonts w:ascii="Times New Roman" w:hAnsi="Times New Roman" w:cs="Times New Roman"/>
          <w:bCs/>
        </w:rPr>
        <w:t> </w:t>
      </w:r>
      <w:r w:rsidRPr="001A663C">
        <w:rPr>
          <w:rFonts w:cs="Roboto"/>
          <w:bCs/>
        </w:rPr>
        <w:t>»</w:t>
      </w:r>
      <w:r w:rsidRPr="00ED4667">
        <w:rPr>
          <w:bCs/>
        </w:rPr>
        <w:t>. Si tel est n</w:t>
      </w:r>
      <w:r w:rsidRPr="00ED4667">
        <w:rPr>
          <w:rFonts w:cs="Roboto"/>
          <w:bCs/>
        </w:rPr>
        <w:t>é</w:t>
      </w:r>
      <w:r w:rsidRPr="00ED4667">
        <w:rPr>
          <w:bCs/>
        </w:rPr>
        <w:t xml:space="preserve">anmoins le cas, ces services doivent </w:t>
      </w:r>
      <w:r w:rsidRPr="00ED4667">
        <w:rPr>
          <w:rFonts w:cs="Roboto"/>
          <w:bCs/>
        </w:rPr>
        <w:t>ê</w:t>
      </w:r>
      <w:r w:rsidRPr="00ED4667">
        <w:rPr>
          <w:bCs/>
        </w:rPr>
        <w:t>tre accompagn</w:t>
      </w:r>
      <w:r w:rsidRPr="00ED4667">
        <w:rPr>
          <w:rFonts w:cs="Roboto"/>
          <w:bCs/>
        </w:rPr>
        <w:t>é</w:t>
      </w:r>
      <w:r w:rsidRPr="00ED4667">
        <w:rPr>
          <w:bCs/>
        </w:rPr>
        <w:t>s d</w:t>
      </w:r>
      <w:r w:rsidRPr="00ED4667">
        <w:rPr>
          <w:rFonts w:cs="Roboto"/>
          <w:bCs/>
        </w:rPr>
        <w:t>’</w:t>
      </w:r>
      <w:r w:rsidRPr="00ED4667">
        <w:rPr>
          <w:bCs/>
        </w:rPr>
        <w:t>un budget sp</w:t>
      </w:r>
      <w:r w:rsidRPr="00ED4667">
        <w:rPr>
          <w:rFonts w:cs="Roboto"/>
          <w:bCs/>
        </w:rPr>
        <w:t>é</w:t>
      </w:r>
      <w:r w:rsidRPr="00ED4667">
        <w:rPr>
          <w:bCs/>
        </w:rPr>
        <w:t>cifique permettant de d</w:t>
      </w:r>
      <w:r w:rsidRPr="00ED4667">
        <w:rPr>
          <w:rFonts w:cs="Roboto"/>
          <w:bCs/>
        </w:rPr>
        <w:t>é</w:t>
      </w:r>
      <w:r w:rsidRPr="00ED4667">
        <w:rPr>
          <w:bCs/>
        </w:rPr>
        <w:t>duire ces frais au cas o</w:t>
      </w:r>
      <w:r w:rsidRPr="00ED4667">
        <w:rPr>
          <w:rFonts w:cs="Roboto"/>
          <w:bCs/>
        </w:rPr>
        <w:t>ù</w:t>
      </w:r>
      <w:r w:rsidRPr="00ED4667">
        <w:rPr>
          <w:bCs/>
        </w:rPr>
        <w:t xml:space="preserve"> ces services ne peuvent </w:t>
      </w:r>
      <w:r w:rsidRPr="00ED4667">
        <w:rPr>
          <w:rFonts w:cs="Roboto"/>
          <w:bCs/>
        </w:rPr>
        <w:t>ê</w:t>
      </w:r>
      <w:r w:rsidRPr="00ED4667">
        <w:rPr>
          <w:bCs/>
        </w:rPr>
        <w:t>tre ex</w:t>
      </w:r>
      <w:r w:rsidRPr="00ED4667">
        <w:rPr>
          <w:rFonts w:cs="Roboto"/>
          <w:bCs/>
        </w:rPr>
        <w:t>é</w:t>
      </w:r>
      <w:r w:rsidRPr="00ED4667">
        <w:rPr>
          <w:bCs/>
        </w:rPr>
        <w:t>cut</w:t>
      </w:r>
      <w:r w:rsidRPr="00ED4667">
        <w:rPr>
          <w:rFonts w:cs="Roboto"/>
          <w:bCs/>
        </w:rPr>
        <w:t>é</w:t>
      </w:r>
      <w:r w:rsidRPr="00ED4667">
        <w:rPr>
          <w:bCs/>
        </w:rPr>
        <w:t>s.</w:t>
      </w:r>
      <w:r w:rsidRPr="00ED4667">
        <w:rPr>
          <w:rFonts w:ascii="Times New Roman" w:hAnsi="Times New Roman" w:cs="Times New Roman"/>
          <w:bCs/>
        </w:rPr>
        <w:t>   </w:t>
      </w:r>
      <w:r w:rsidRPr="001A663C">
        <w:rPr>
          <w:bCs/>
        </w:rPr>
        <w:t xml:space="preserve"> </w:t>
      </w:r>
    </w:p>
    <w:p w14:paraId="69E1C082" w14:textId="496DE0F1" w:rsidR="001A663C" w:rsidRDefault="001A663C" w:rsidP="008F7A20">
      <w:pPr>
        <w:pStyle w:val="Vade-Mecum0"/>
        <w:spacing w:line="240" w:lineRule="auto"/>
        <w:jc w:val="both"/>
        <w:rPr>
          <w:rFonts w:ascii="Times New Roman" w:hAnsi="Times New Roman" w:cs="Times New Roman"/>
          <w:bCs/>
        </w:rPr>
      </w:pPr>
      <w:r w:rsidRPr="001A663C">
        <w:rPr>
          <w:bCs/>
        </w:rPr>
        <w:t>Le soumissionnaire doit absolument éviter de reprendre littéralement (des parties) du contenu des prescriptions techniques dans son offre technique et éviter de répéter des principes, définitions et pratiques largement connus dans le domaine de la coopération au développement et de l’évaluation. Si certains passages ne sont pas de l</w:t>
      </w:r>
      <w:r w:rsidR="00254912">
        <w:rPr>
          <w:bCs/>
        </w:rPr>
        <w:t>’</w:t>
      </w:r>
      <w:r w:rsidRPr="001A663C">
        <w:rPr>
          <w:bCs/>
        </w:rPr>
        <w:t>auteur de l</w:t>
      </w:r>
      <w:r w:rsidR="00254912">
        <w:rPr>
          <w:bCs/>
        </w:rPr>
        <w:t>’</w:t>
      </w:r>
      <w:r w:rsidRPr="001A663C">
        <w:rPr>
          <w:bCs/>
        </w:rPr>
        <w:t>offre, cela doit être clairement indiqué (en italique, entre guillemets et avec citation).</w:t>
      </w:r>
      <w:r w:rsidRPr="001A663C">
        <w:rPr>
          <w:rFonts w:ascii="Times New Roman" w:hAnsi="Times New Roman" w:cs="Times New Roman"/>
          <w:bCs/>
        </w:rPr>
        <w:t>  </w:t>
      </w:r>
    </w:p>
    <w:p w14:paraId="4C3BBEDE" w14:textId="29229E3D" w:rsidR="00987010" w:rsidRPr="00987010" w:rsidRDefault="00987010" w:rsidP="008F7A20">
      <w:pPr>
        <w:pStyle w:val="Vade-Mecum0"/>
        <w:spacing w:line="240" w:lineRule="auto"/>
        <w:jc w:val="both"/>
        <w:rPr>
          <w:rFonts w:cs="Times New Roman"/>
          <w:b/>
        </w:rPr>
      </w:pPr>
      <w:r w:rsidRPr="00987010">
        <w:rPr>
          <w:rFonts w:cs="Times New Roman"/>
          <w:b/>
        </w:rPr>
        <w:t>Structure de l’offre</w:t>
      </w:r>
    </w:p>
    <w:p w14:paraId="54756631" w14:textId="4DA78C34" w:rsidR="00987010" w:rsidRPr="00987010" w:rsidRDefault="00987010" w:rsidP="00987010">
      <w:pPr>
        <w:pStyle w:val="Vade-Mecum0"/>
        <w:spacing w:line="240" w:lineRule="auto"/>
        <w:jc w:val="both"/>
        <w:rPr>
          <w:bCs/>
        </w:rPr>
      </w:pPr>
      <w:r w:rsidRPr="00987010">
        <w:rPr>
          <w:bCs/>
        </w:rPr>
        <w:t>Le soumissionnaire prévoit une numérotation complète et continue de toutes les pages de son offre (y inclus les annexes).</w:t>
      </w:r>
      <w:r w:rsidR="00400709">
        <w:rPr>
          <w:bCs/>
        </w:rPr>
        <w:t xml:space="preserve"> Le formulaire d’offre</w:t>
      </w:r>
      <w:r w:rsidR="009A23AF">
        <w:rPr>
          <w:bCs/>
        </w:rPr>
        <w:t xml:space="preserve"> est numéroté séparément.</w:t>
      </w:r>
    </w:p>
    <w:p w14:paraId="36DE4C74" w14:textId="0515D4FF" w:rsidR="00987010" w:rsidRPr="00987010" w:rsidRDefault="00987010" w:rsidP="00987010">
      <w:pPr>
        <w:pStyle w:val="Vade-Mecum0"/>
        <w:spacing w:line="240" w:lineRule="auto"/>
        <w:jc w:val="both"/>
        <w:rPr>
          <w:bCs/>
        </w:rPr>
      </w:pPr>
      <w:r w:rsidRPr="00987010">
        <w:rPr>
          <w:bCs/>
        </w:rPr>
        <w:t xml:space="preserve">L’offre technique et l’offre financière doivent être structurées de façon à faciliter au maximum l’examen en </w:t>
      </w:r>
      <w:r w:rsidRPr="00D713B8">
        <w:rPr>
          <w:bCs/>
        </w:rPr>
        <w:t>fonction des critères d’exclusion, de sélection, de régularité et d’attribution (voir plus haut, point A</w:t>
      </w:r>
      <w:r w:rsidR="00EE207F" w:rsidRPr="00D713B8">
        <w:rPr>
          <w:bCs/>
        </w:rPr>
        <w:t>11</w:t>
      </w:r>
      <w:r w:rsidRPr="00D713B8">
        <w:rPr>
          <w:bCs/>
        </w:rPr>
        <w:t>).</w:t>
      </w:r>
    </w:p>
    <w:p w14:paraId="0E7F3EAF" w14:textId="783706DE" w:rsidR="00987010" w:rsidRPr="001A663C" w:rsidRDefault="00987010" w:rsidP="00987010">
      <w:pPr>
        <w:pStyle w:val="Vade-Mecum0"/>
        <w:spacing w:line="240" w:lineRule="auto"/>
        <w:jc w:val="both"/>
        <w:rPr>
          <w:bCs/>
        </w:rPr>
      </w:pPr>
      <w:r w:rsidRPr="00987010">
        <w:rPr>
          <w:bCs/>
        </w:rPr>
        <w:t>Chaque soumissionnaire ne peut introduire qu’une seule offre. Sont notamment importants</w:t>
      </w:r>
      <w:r w:rsidR="00254912">
        <w:rPr>
          <w:bCs/>
        </w:rPr>
        <w:t> </w:t>
      </w:r>
      <w:r w:rsidRPr="00987010">
        <w:rPr>
          <w:bCs/>
        </w:rPr>
        <w:t>:</w:t>
      </w:r>
    </w:p>
    <w:p w14:paraId="66CD619C" w14:textId="30EF12D7" w:rsidR="00BF3335" w:rsidRPr="008F1B88" w:rsidRDefault="008E21F6" w:rsidP="008F7A20">
      <w:pPr>
        <w:pStyle w:val="Vade-Mecum0"/>
        <w:numPr>
          <w:ilvl w:val="0"/>
          <w:numId w:val="41"/>
        </w:numPr>
        <w:spacing w:line="240" w:lineRule="auto"/>
        <w:rPr>
          <w:bCs/>
        </w:rPr>
      </w:pPr>
      <w:bookmarkStart w:id="759" w:name="_Toc196819227"/>
      <w:bookmarkStart w:id="760" w:name="_Toc194983379"/>
      <w:r>
        <w:rPr>
          <w:bCs/>
        </w:rPr>
        <w:t>Offre méthodologique</w:t>
      </w:r>
      <w:r w:rsidR="00E32B3A">
        <w:rPr>
          <w:bCs/>
        </w:rPr>
        <w:t xml:space="preserve"> (max</w:t>
      </w:r>
      <w:r w:rsidR="00494411">
        <w:rPr>
          <w:bCs/>
        </w:rPr>
        <w:t>.</w:t>
      </w:r>
      <w:r w:rsidR="00E32B3A">
        <w:rPr>
          <w:bCs/>
        </w:rPr>
        <w:t xml:space="preserve"> 1</w:t>
      </w:r>
      <w:r w:rsidR="00EE207F">
        <w:rPr>
          <w:bCs/>
        </w:rPr>
        <w:t>5</w:t>
      </w:r>
      <w:r w:rsidR="00E32B3A">
        <w:rPr>
          <w:bCs/>
        </w:rPr>
        <w:t xml:space="preserve"> pages)</w:t>
      </w:r>
      <w:r w:rsidR="009F5B57">
        <w:rPr>
          <w:bCs/>
        </w:rPr>
        <w:t> :</w:t>
      </w:r>
    </w:p>
    <w:p w14:paraId="5DE01841" w14:textId="0DD85AC7" w:rsidR="004D03DE" w:rsidRPr="004D03DE" w:rsidRDefault="004D03DE" w:rsidP="004D03DE">
      <w:pPr>
        <w:pStyle w:val="Vade-Mecum0"/>
        <w:numPr>
          <w:ilvl w:val="0"/>
          <w:numId w:val="42"/>
        </w:numPr>
        <w:spacing w:line="240" w:lineRule="auto"/>
        <w:jc w:val="both"/>
        <w:rPr>
          <w:bCs/>
        </w:rPr>
      </w:pPr>
      <w:r w:rsidRPr="004D03DE">
        <w:rPr>
          <w:bCs/>
        </w:rPr>
        <w:t>Une démonstration concise que le soumissionnaire a compris la nature et l’étendue des services requis, avec clarification de la vision de l’équipe d’évaluation par rapport au contexte, aux objectifs et aux questions d’évaluation</w:t>
      </w:r>
      <w:r w:rsidR="00D713B8">
        <w:rPr>
          <w:bCs/>
        </w:rPr>
        <w:t xml:space="preserve"> </w:t>
      </w:r>
      <w:r w:rsidR="0088688D" w:rsidRPr="00C072ED">
        <w:rPr>
          <w:bCs/>
        </w:rPr>
        <w:t>mais aussi par rapport à son propre mandat et à la valeur ajoutée dans le cadre de l</w:t>
      </w:r>
      <w:r w:rsidR="00254912">
        <w:rPr>
          <w:bCs/>
        </w:rPr>
        <w:t>’</w:t>
      </w:r>
      <w:r w:rsidR="0088688D" w:rsidRPr="00C072ED">
        <w:rPr>
          <w:bCs/>
        </w:rPr>
        <w:t>évaluation</w:t>
      </w:r>
      <w:r w:rsidR="00254912">
        <w:rPr>
          <w:bCs/>
        </w:rPr>
        <w:t>.</w:t>
      </w:r>
      <w:r w:rsidR="0088688D">
        <w:rPr>
          <w:bCs/>
        </w:rPr>
        <w:t xml:space="preserve"> </w:t>
      </w:r>
    </w:p>
    <w:p w14:paraId="14722CD3" w14:textId="61C0A023" w:rsidR="00BF3335" w:rsidRPr="004D03DE" w:rsidRDefault="004D03DE" w:rsidP="004D03DE">
      <w:pPr>
        <w:pStyle w:val="Vade-Mecum0"/>
        <w:numPr>
          <w:ilvl w:val="0"/>
          <w:numId w:val="42"/>
        </w:numPr>
        <w:spacing w:line="240" w:lineRule="auto"/>
        <w:jc w:val="both"/>
        <w:rPr>
          <w:bCs/>
        </w:rPr>
      </w:pPr>
      <w:r w:rsidRPr="004D03DE">
        <w:rPr>
          <w:bCs/>
        </w:rPr>
        <w:t>Les grandes lignes du cadre d’évaluation proposé, qui ser</w:t>
      </w:r>
      <w:r w:rsidR="00FD0A30">
        <w:rPr>
          <w:bCs/>
        </w:rPr>
        <w:t>a</w:t>
      </w:r>
      <w:r w:rsidRPr="004D03DE">
        <w:rPr>
          <w:bCs/>
        </w:rPr>
        <w:t xml:space="preserve"> utilisé pour atteindre les objectifs de l’évaluation. Si jugé pertinent, référence peut être faite à des approches méthodologiques ou cadres de référence connus. Si le soumissionnaire propose une méthodologie innovante créée par lui, le résumé de l’aspect innovateur et la justification de son utilisation doivent se retrouver dans ce volet.</w:t>
      </w:r>
    </w:p>
    <w:p w14:paraId="7B2E6667" w14:textId="48B52305" w:rsidR="00BF3335" w:rsidRPr="007E111F" w:rsidRDefault="00494411" w:rsidP="008F7A20">
      <w:pPr>
        <w:pStyle w:val="Vade-Mecum0"/>
        <w:numPr>
          <w:ilvl w:val="0"/>
          <w:numId w:val="39"/>
        </w:numPr>
        <w:spacing w:line="240" w:lineRule="auto"/>
        <w:rPr>
          <w:bCs/>
        </w:rPr>
      </w:pPr>
      <w:r w:rsidRPr="007E111F">
        <w:rPr>
          <w:bCs/>
        </w:rPr>
        <w:t>Approche pour l’organisation pratique de l’évaluation</w:t>
      </w:r>
      <w:r w:rsidR="009F5B57">
        <w:rPr>
          <w:bCs/>
        </w:rPr>
        <w:t xml:space="preserve"> </w:t>
      </w:r>
      <w:r w:rsidRPr="007E111F">
        <w:rPr>
          <w:bCs/>
        </w:rPr>
        <w:t>:</w:t>
      </w:r>
    </w:p>
    <w:bookmarkEnd w:id="759"/>
    <w:bookmarkEnd w:id="760"/>
    <w:p w14:paraId="3E1B6FC2" w14:textId="1FF6E0E2" w:rsidR="00BF3335" w:rsidRPr="007E111F" w:rsidRDefault="007E111F" w:rsidP="008F7A20">
      <w:pPr>
        <w:pStyle w:val="Vade-Mecum0"/>
        <w:numPr>
          <w:ilvl w:val="0"/>
          <w:numId w:val="42"/>
        </w:numPr>
        <w:spacing w:line="240" w:lineRule="auto"/>
      </w:pPr>
      <w:r>
        <w:t>Une présentation concise du bureau d’étude soumissionnaire et, le cas échéant, des bureaux associés</w:t>
      </w:r>
      <w:r w:rsidR="60DACED1">
        <w:t xml:space="preserve"> </w:t>
      </w:r>
      <w:r>
        <w:t>;</w:t>
      </w:r>
    </w:p>
    <w:p w14:paraId="3D9B4682" w14:textId="2C046B7C" w:rsidR="00BF3335" w:rsidRPr="00D713B8" w:rsidRDefault="00033F73" w:rsidP="008F7A20">
      <w:pPr>
        <w:pStyle w:val="Vade-Mecum0"/>
        <w:numPr>
          <w:ilvl w:val="0"/>
          <w:numId w:val="42"/>
        </w:numPr>
        <w:spacing w:line="240" w:lineRule="auto"/>
      </w:pPr>
      <w:r w:rsidRPr="00D713B8">
        <w:t xml:space="preserve">La structure de l'équipe, l'équilibre </w:t>
      </w:r>
      <w:r w:rsidR="639834CC" w:rsidRPr="00D713B8">
        <w:t>genre et linguistique</w:t>
      </w:r>
      <w:r w:rsidRPr="00D713B8">
        <w:t xml:space="preserve"> </w:t>
      </w:r>
      <w:r w:rsidR="00BF3335" w:rsidRPr="00D713B8">
        <w:t>;</w:t>
      </w:r>
    </w:p>
    <w:p w14:paraId="0E211462" w14:textId="61AB83D1" w:rsidR="008F7A20" w:rsidRPr="00D713B8" w:rsidRDefault="00E30288" w:rsidP="00E30288">
      <w:pPr>
        <w:pStyle w:val="Vade-Mecum0"/>
        <w:numPr>
          <w:ilvl w:val="0"/>
          <w:numId w:val="42"/>
        </w:numPr>
        <w:spacing w:line="240" w:lineRule="auto"/>
        <w:jc w:val="both"/>
        <w:rPr>
          <w:bCs/>
        </w:rPr>
      </w:pPr>
      <w:r w:rsidRPr="00D713B8">
        <w:rPr>
          <w:bCs/>
        </w:rPr>
        <w:t>Un calendrier d’exécution et un plan de travail indicatif des différentes phases d’évaluation telles qu’indiquées dans les prescriptions techniques (voir point B</w:t>
      </w:r>
      <w:r w:rsidR="00183B91" w:rsidRPr="00D713B8">
        <w:rPr>
          <w:bCs/>
        </w:rPr>
        <w:t>7</w:t>
      </w:r>
      <w:r w:rsidRPr="00D713B8">
        <w:rPr>
          <w:bCs/>
        </w:rPr>
        <w:t>). Les évaluateurs sont libres de formuler des propositions de déroulement dérogatoires, pour autant qu'elles n'affectent ni l’output intermédiaire et final ni le timing attendus</w:t>
      </w:r>
      <w:r w:rsidR="00A336B5">
        <w:rPr>
          <w:bCs/>
        </w:rPr>
        <w:t>.</w:t>
      </w:r>
      <w:r w:rsidRPr="00D713B8">
        <w:rPr>
          <w:bCs/>
        </w:rPr>
        <w:t xml:space="preserve"> Il est également crucial que les évaluateurs fassent une estimation correcte et suffisante du nombre de jours de travail par évaluateur et par phase de l’évaluation, notamment les missions de terrain</w:t>
      </w:r>
      <w:r w:rsidR="00033F73" w:rsidRPr="00D713B8">
        <w:rPr>
          <w:bCs/>
        </w:rPr>
        <w:t> ;</w:t>
      </w:r>
    </w:p>
    <w:p w14:paraId="7F4EC5F9" w14:textId="40DEB5FA" w:rsidR="00BF3335" w:rsidRPr="00D713B8" w:rsidRDefault="00814E27" w:rsidP="008F7A20">
      <w:pPr>
        <w:pStyle w:val="Vade-Mecum0"/>
        <w:numPr>
          <w:ilvl w:val="0"/>
          <w:numId w:val="42"/>
        </w:numPr>
        <w:spacing w:line="240" w:lineRule="auto"/>
        <w:jc w:val="both"/>
        <w:rPr>
          <w:bCs/>
        </w:rPr>
      </w:pPr>
      <w:r w:rsidRPr="00D713B8">
        <w:rPr>
          <w:bCs/>
        </w:rPr>
        <w:t>La répartition de travail au cours des différentes phases, avec référence au contrôle de qualité prévu et le schéma de backup en cas de force majeure. La répartition des jours de travail par membre de l’équipe d’évaluation et par phase doit être clairement précisée. En plus, le nombre de jours de travail effectif sur le terrain doit être clairement distingué des jours de préparation des missions de terrain et des jours voyage. Les consultants sont censés travailler selon un horaire non surchargé. C'est surtout lors des missions de terrain que l’horaire doit être crédible par rapport aux résultats souhaités.</w:t>
      </w:r>
    </w:p>
    <w:p w14:paraId="0C0DD3A7" w14:textId="64CE016E" w:rsidR="00BF3335" w:rsidRPr="00156C7F" w:rsidRDefault="00910F12" w:rsidP="008F7A20">
      <w:pPr>
        <w:pStyle w:val="Vade-Mecum0"/>
        <w:numPr>
          <w:ilvl w:val="0"/>
          <w:numId w:val="39"/>
        </w:numPr>
        <w:spacing w:line="240" w:lineRule="auto"/>
        <w:jc w:val="both"/>
        <w:rPr>
          <w:bCs/>
        </w:rPr>
      </w:pPr>
      <w:r w:rsidRPr="00156C7F">
        <w:rPr>
          <w:bCs/>
        </w:rPr>
        <w:t>Présentation (i) du chef de l’équipe et (ii) des autres membres de l’équipe d’évaluation,</w:t>
      </w:r>
      <w:r w:rsidRPr="00156C7F">
        <w:rPr>
          <w:rFonts w:ascii="Times New Roman" w:hAnsi="Times New Roman" w:cs="Times New Roman"/>
          <w:bCs/>
        </w:rPr>
        <w:t>  </w:t>
      </w:r>
      <w:r w:rsidRPr="00156C7F">
        <w:rPr>
          <w:bCs/>
        </w:rPr>
        <w:t>tant international que local</w:t>
      </w:r>
      <w:r w:rsidR="009F5B57">
        <w:rPr>
          <w:bCs/>
        </w:rPr>
        <w:t> :</w:t>
      </w:r>
    </w:p>
    <w:p w14:paraId="0F139AFF" w14:textId="7AAFAE3C" w:rsidR="002E455C" w:rsidRPr="00156C7F" w:rsidRDefault="00156C7F" w:rsidP="002E455C">
      <w:pPr>
        <w:pStyle w:val="Vade-Mecum0"/>
        <w:numPr>
          <w:ilvl w:val="0"/>
          <w:numId w:val="42"/>
        </w:numPr>
        <w:spacing w:line="240" w:lineRule="auto"/>
        <w:jc w:val="both"/>
        <w:rPr>
          <w:bCs/>
        </w:rPr>
      </w:pPr>
      <w:r w:rsidRPr="00156C7F">
        <w:rPr>
          <w:bCs/>
        </w:rPr>
        <w:t xml:space="preserve">Cette présentation démontre en termes clairs que les qualités de l’équipe d’évaluation répondent à l’expertise et à l’expérience requises dans les prescriptions techniques </w:t>
      </w:r>
      <w:r w:rsidRPr="00FB017C">
        <w:rPr>
          <w:bCs/>
        </w:rPr>
        <w:t>(voir point B</w:t>
      </w:r>
      <w:r w:rsidR="0057061E" w:rsidRPr="00FB017C">
        <w:rPr>
          <w:bCs/>
        </w:rPr>
        <w:t>9</w:t>
      </w:r>
      <w:r w:rsidRPr="00FB017C">
        <w:rPr>
          <w:bCs/>
        </w:rPr>
        <w:t>)</w:t>
      </w:r>
      <w:r w:rsidR="00020BEB" w:rsidRPr="00FB017C">
        <w:rPr>
          <w:bCs/>
        </w:rPr>
        <w:t> ;</w:t>
      </w:r>
    </w:p>
    <w:p w14:paraId="7E2DE780" w14:textId="38D738CE" w:rsidR="002E455C" w:rsidRPr="006A3299" w:rsidRDefault="00361A6A" w:rsidP="002E455C">
      <w:pPr>
        <w:pStyle w:val="Vade-Mecum0"/>
        <w:numPr>
          <w:ilvl w:val="0"/>
          <w:numId w:val="42"/>
        </w:numPr>
        <w:spacing w:line="240" w:lineRule="auto"/>
        <w:jc w:val="both"/>
        <w:rPr>
          <w:bCs/>
        </w:rPr>
      </w:pPr>
      <w:r w:rsidRPr="00361A6A">
        <w:rPr>
          <w:bCs/>
        </w:rPr>
        <w:t xml:space="preserve">Le CV des évaluateurs doit clairement indiquer pour quelles interventions </w:t>
      </w:r>
      <w:r w:rsidR="00033F73">
        <w:rPr>
          <w:bCs/>
        </w:rPr>
        <w:t>de la Coopération belge au Développement</w:t>
      </w:r>
      <w:r w:rsidRPr="00361A6A">
        <w:rPr>
          <w:bCs/>
        </w:rPr>
        <w:t>, ils ont éventuellement participé à la préparation, à la mise en œuvre ou à une évaluation antérieure, en vue d’éviter des conflits d’intérêt. En cas de possibles conflits d’intérêt, le soumissionnaire doit indiquer clairement dans l’offre comment il en sera tenu compte dans la répartition des tâches.</w:t>
      </w:r>
      <w:r w:rsidRPr="00361A6A">
        <w:rPr>
          <w:rFonts w:ascii="Times New Roman" w:hAnsi="Times New Roman" w:cs="Times New Roman"/>
          <w:bCs/>
        </w:rPr>
        <w:t>  </w:t>
      </w:r>
    </w:p>
    <w:p w14:paraId="33AAFA0C" w14:textId="6C9A687C" w:rsidR="006A3299" w:rsidRDefault="006A3299" w:rsidP="006A3299">
      <w:pPr>
        <w:pStyle w:val="Vade-Mecum0"/>
        <w:spacing w:line="240" w:lineRule="auto"/>
        <w:jc w:val="both"/>
        <w:rPr>
          <w:rFonts w:ascii="Times New Roman" w:hAnsi="Times New Roman" w:cs="Times New Roman"/>
          <w:bCs/>
        </w:rPr>
      </w:pPr>
    </w:p>
    <w:p w14:paraId="7AA74CC3" w14:textId="77777777" w:rsidR="006A3299" w:rsidRPr="00361A6A" w:rsidRDefault="006A3299" w:rsidP="006A3299">
      <w:pPr>
        <w:pStyle w:val="Vade-Mecum0"/>
        <w:spacing w:line="240" w:lineRule="auto"/>
        <w:jc w:val="both"/>
        <w:rPr>
          <w:bCs/>
        </w:rPr>
      </w:pPr>
    </w:p>
    <w:p w14:paraId="6C4B15FB" w14:textId="7C14B49C" w:rsidR="00BF3335" w:rsidRPr="00E57C58" w:rsidRDefault="00BA50B5" w:rsidP="00BF3335">
      <w:pPr>
        <w:pStyle w:val="Vade-Mecum0"/>
        <w:rPr>
          <w:b/>
          <w:bCs/>
          <w:lang w:val="fr-FR"/>
        </w:rPr>
      </w:pPr>
      <w:r w:rsidRPr="00E57C58">
        <w:rPr>
          <w:b/>
          <w:bCs/>
          <w:lang w:val="fr-FR"/>
        </w:rPr>
        <w:t>Annexes</w:t>
      </w:r>
    </w:p>
    <w:p w14:paraId="76243383" w14:textId="74383861" w:rsidR="00D140BF" w:rsidRPr="00E57C58" w:rsidRDefault="00D140BF" w:rsidP="3CBCFBEA">
      <w:pPr>
        <w:spacing w:after="0" w:line="240" w:lineRule="auto"/>
        <w:jc w:val="both"/>
        <w:textAlignment w:val="baseline"/>
        <w:rPr>
          <w:color w:val="262626" w:themeColor="text1" w:themeTint="D9"/>
          <w:lang w:val="fr-FR"/>
        </w:rPr>
      </w:pPr>
      <w:bookmarkStart w:id="761" w:name="_Toc29741237"/>
      <w:bookmarkStart w:id="762" w:name="_Toc113544507"/>
      <w:bookmarkStart w:id="763" w:name="_Toc114066814"/>
      <w:r w:rsidRPr="3CBCFBEA">
        <w:rPr>
          <w:color w:val="262626" w:themeColor="text1" w:themeTint="D9"/>
          <w:lang w:val="fr-FR"/>
        </w:rPr>
        <w:t xml:space="preserve">Toutes les annexes font partie intégrante de l'offre. </w:t>
      </w:r>
      <w:r w:rsidR="1DF49049" w:rsidRPr="3CBCFBEA">
        <w:rPr>
          <w:color w:val="262626" w:themeColor="text1" w:themeTint="D9"/>
          <w:lang w:val="fr-FR"/>
        </w:rPr>
        <w:t>Ces</w:t>
      </w:r>
      <w:r w:rsidRPr="3CBCFBEA">
        <w:rPr>
          <w:color w:val="262626" w:themeColor="text1" w:themeTint="D9"/>
          <w:lang w:val="fr-FR"/>
        </w:rPr>
        <w:t xml:space="preserve"> annexes portent la mention suivante : «</w:t>
      </w:r>
      <w:r w:rsidRPr="3CBCFBEA">
        <w:rPr>
          <w:rFonts w:ascii="Times New Roman" w:hAnsi="Times New Roman" w:cs="Times New Roman"/>
          <w:color w:val="262626" w:themeColor="text1" w:themeTint="D9"/>
          <w:lang w:val="fr-FR"/>
        </w:rPr>
        <w:t> </w:t>
      </w:r>
      <w:r w:rsidRPr="3CBCFBEA">
        <w:rPr>
          <w:color w:val="262626" w:themeColor="text1" w:themeTint="D9"/>
          <w:lang w:val="fr-FR"/>
        </w:rPr>
        <w:t xml:space="preserve">Pour </w:t>
      </w:r>
      <w:r w:rsidRPr="3CBCFBEA">
        <w:rPr>
          <w:rFonts w:cs="Roboto"/>
          <w:color w:val="262626" w:themeColor="text1" w:themeTint="D9"/>
          <w:lang w:val="fr-FR"/>
        </w:rPr>
        <w:t>ê</w:t>
      </w:r>
      <w:r w:rsidRPr="3CBCFBEA">
        <w:rPr>
          <w:color w:val="262626" w:themeColor="text1" w:themeTint="D9"/>
          <w:lang w:val="fr-FR"/>
        </w:rPr>
        <w:t xml:space="preserve">tre joint </w:t>
      </w:r>
      <w:r w:rsidRPr="3CBCFBEA">
        <w:rPr>
          <w:rFonts w:cs="Roboto"/>
          <w:color w:val="262626" w:themeColor="text1" w:themeTint="D9"/>
          <w:lang w:val="fr-FR"/>
        </w:rPr>
        <w:t>à</w:t>
      </w:r>
      <w:r w:rsidRPr="3CBCFBEA">
        <w:rPr>
          <w:color w:val="262626" w:themeColor="text1" w:themeTint="D9"/>
          <w:lang w:val="fr-FR"/>
        </w:rPr>
        <w:t xml:space="preserve"> mon offre du ... et en faire partie int</w:t>
      </w:r>
      <w:r w:rsidRPr="3CBCFBEA">
        <w:rPr>
          <w:rFonts w:cs="Roboto"/>
          <w:color w:val="262626" w:themeColor="text1" w:themeTint="D9"/>
          <w:lang w:val="fr-FR"/>
        </w:rPr>
        <w:t>é</w:t>
      </w:r>
      <w:r w:rsidRPr="3CBCFBEA">
        <w:rPr>
          <w:color w:val="262626" w:themeColor="text1" w:themeTint="D9"/>
          <w:lang w:val="fr-FR"/>
        </w:rPr>
        <w:t>grante</w:t>
      </w:r>
      <w:r w:rsidRPr="3CBCFBEA">
        <w:rPr>
          <w:rFonts w:ascii="Times New Roman" w:hAnsi="Times New Roman" w:cs="Times New Roman"/>
          <w:color w:val="262626" w:themeColor="text1" w:themeTint="D9"/>
          <w:lang w:val="fr-FR"/>
        </w:rPr>
        <w:t> </w:t>
      </w:r>
      <w:r w:rsidRPr="3CBCFBEA">
        <w:rPr>
          <w:rFonts w:cs="Roboto"/>
          <w:color w:val="262626" w:themeColor="text1" w:themeTint="D9"/>
          <w:lang w:val="fr-FR"/>
        </w:rPr>
        <w:t>»</w:t>
      </w:r>
      <w:r w:rsidRPr="3CBCFBEA">
        <w:rPr>
          <w:color w:val="262626" w:themeColor="text1" w:themeTint="D9"/>
          <w:lang w:val="fr-FR"/>
        </w:rPr>
        <w:t xml:space="preserve"> (suivie de la date et de la signature ainsi que du nom, pr</w:t>
      </w:r>
      <w:r w:rsidRPr="3CBCFBEA">
        <w:rPr>
          <w:rFonts w:cs="Roboto"/>
          <w:color w:val="262626" w:themeColor="text1" w:themeTint="D9"/>
          <w:lang w:val="fr-FR"/>
        </w:rPr>
        <w:t>é</w:t>
      </w:r>
      <w:r w:rsidRPr="3CBCFBEA">
        <w:rPr>
          <w:color w:val="262626" w:themeColor="text1" w:themeTint="D9"/>
          <w:lang w:val="fr-FR"/>
        </w:rPr>
        <w:t>nom et qualit</w:t>
      </w:r>
      <w:r w:rsidRPr="3CBCFBEA">
        <w:rPr>
          <w:rFonts w:cs="Roboto"/>
          <w:color w:val="262626" w:themeColor="text1" w:themeTint="D9"/>
          <w:lang w:val="fr-FR"/>
        </w:rPr>
        <w:t>é</w:t>
      </w:r>
      <w:r w:rsidRPr="3CBCFBEA">
        <w:rPr>
          <w:color w:val="262626" w:themeColor="text1" w:themeTint="D9"/>
          <w:lang w:val="fr-FR"/>
        </w:rPr>
        <w:t xml:space="preserve"> du signataire).</w:t>
      </w:r>
    </w:p>
    <w:p w14:paraId="581878D1" w14:textId="77777777" w:rsidR="00D140BF" w:rsidRPr="00E57C58" w:rsidRDefault="00D140BF" w:rsidP="00C13A0A">
      <w:pPr>
        <w:spacing w:after="0" w:line="240" w:lineRule="auto"/>
        <w:jc w:val="both"/>
        <w:textAlignment w:val="baseline"/>
        <w:rPr>
          <w:color w:val="262626" w:themeColor="text1" w:themeTint="D9"/>
          <w:szCs w:val="22"/>
          <w:lang w:val="fr-FR"/>
        </w:rPr>
      </w:pPr>
    </w:p>
    <w:p w14:paraId="5107482A" w14:textId="09BD8B9E" w:rsidR="00C13A0A" w:rsidRPr="00E57C58" w:rsidRDefault="00D6475F" w:rsidP="00C13A0A">
      <w:pPr>
        <w:spacing w:after="0" w:line="240" w:lineRule="auto"/>
        <w:jc w:val="both"/>
        <w:textAlignment w:val="baseline"/>
        <w:rPr>
          <w:rFonts w:eastAsia="Times New Roman" w:cs="Times New Roman"/>
          <w:szCs w:val="22"/>
          <w:lang w:val="fr-FR"/>
        </w:rPr>
      </w:pPr>
      <w:r w:rsidRPr="00E57C58">
        <w:rPr>
          <w:rFonts w:eastAsia="Times New Roman" w:cs="Times New Roman"/>
          <w:szCs w:val="22"/>
          <w:lang w:val="fr-FR"/>
        </w:rPr>
        <w:t>Documents à joindre à l'offre :</w:t>
      </w:r>
    </w:p>
    <w:p w14:paraId="47A1D084" w14:textId="77777777" w:rsidR="00D6475F" w:rsidRPr="00C13A0A" w:rsidRDefault="00D6475F" w:rsidP="00C13A0A">
      <w:pPr>
        <w:spacing w:after="0" w:line="240" w:lineRule="auto"/>
        <w:jc w:val="both"/>
        <w:textAlignment w:val="baseline"/>
        <w:rPr>
          <w:rFonts w:eastAsia="Times New Roman" w:cs="Times New Roman"/>
          <w:szCs w:val="22"/>
          <w:lang w:val="fr-FR"/>
        </w:rPr>
      </w:pPr>
    </w:p>
    <w:p w14:paraId="1F68648D" w14:textId="603173BB" w:rsidR="00C13A0A" w:rsidRPr="00C13A0A" w:rsidRDefault="00617024" w:rsidP="00C13A0A">
      <w:pPr>
        <w:numPr>
          <w:ilvl w:val="0"/>
          <w:numId w:val="39"/>
        </w:numPr>
        <w:spacing w:after="0" w:line="240" w:lineRule="auto"/>
        <w:jc w:val="both"/>
        <w:textAlignment w:val="baseline"/>
        <w:rPr>
          <w:rFonts w:eastAsia="Times New Roman" w:cs="Times New Roman"/>
          <w:szCs w:val="22"/>
          <w:lang w:val="fr-FR"/>
        </w:rPr>
      </w:pPr>
      <w:r>
        <w:rPr>
          <w:rFonts w:eastAsiaTheme="majorEastAsia" w:cs="Times New Roman"/>
          <w:szCs w:val="22"/>
          <w:lang w:val="fr-FR"/>
        </w:rPr>
        <w:t>La d</w:t>
      </w:r>
      <w:r w:rsidR="00D6475F" w:rsidRPr="00E57C58">
        <w:rPr>
          <w:rFonts w:eastAsiaTheme="majorEastAsia" w:cs="Times New Roman"/>
          <w:szCs w:val="22"/>
          <w:lang w:val="fr-FR"/>
        </w:rPr>
        <w:t>escription de l'entreprise du soumissionnaire dans laquelle il expose ses principaux atouts par rapport aux prestations à réaliser sur ce marché</w:t>
      </w:r>
      <w:r w:rsidR="00AE21AB">
        <w:rPr>
          <w:rFonts w:eastAsiaTheme="majorEastAsia" w:cs="Times New Roman"/>
          <w:szCs w:val="22"/>
          <w:lang w:val="fr-FR"/>
        </w:rPr>
        <w:t> ;</w:t>
      </w:r>
    </w:p>
    <w:p w14:paraId="02E64147" w14:textId="77777777" w:rsidR="00C13A0A" w:rsidRPr="00C13A0A" w:rsidRDefault="00C13A0A" w:rsidP="00C13A0A">
      <w:pPr>
        <w:spacing w:after="0" w:line="240" w:lineRule="auto"/>
        <w:jc w:val="both"/>
        <w:textAlignment w:val="baseline"/>
        <w:rPr>
          <w:rFonts w:eastAsia="Times New Roman" w:cs="Times New Roman"/>
          <w:szCs w:val="22"/>
          <w:lang w:val="fr-FR"/>
        </w:rPr>
      </w:pPr>
    </w:p>
    <w:p w14:paraId="56630247" w14:textId="357B0E20" w:rsidR="00C13A0A" w:rsidRPr="00E57C58" w:rsidRDefault="0035390F" w:rsidP="00C13A0A">
      <w:pPr>
        <w:numPr>
          <w:ilvl w:val="0"/>
          <w:numId w:val="39"/>
        </w:numPr>
        <w:spacing w:after="0" w:line="240" w:lineRule="auto"/>
        <w:jc w:val="both"/>
        <w:textAlignment w:val="baseline"/>
        <w:rPr>
          <w:rFonts w:eastAsia="Times New Roman" w:cs="Times New Roman"/>
          <w:szCs w:val="22"/>
          <w:lang w:val="fr-FR"/>
        </w:rPr>
      </w:pPr>
      <w:r w:rsidRPr="00E57C58">
        <w:rPr>
          <w:rFonts w:eastAsiaTheme="majorEastAsia" w:cs="Times New Roman"/>
          <w:szCs w:val="22"/>
          <w:lang w:val="fr-FR"/>
        </w:rPr>
        <w:t>L</w:t>
      </w:r>
      <w:r w:rsidR="00617024">
        <w:rPr>
          <w:rFonts w:eastAsiaTheme="majorEastAsia" w:cs="Times New Roman"/>
          <w:szCs w:val="22"/>
          <w:lang w:val="fr-FR"/>
        </w:rPr>
        <w:t>a l</w:t>
      </w:r>
      <w:r w:rsidRPr="00E57C58">
        <w:rPr>
          <w:rFonts w:eastAsiaTheme="majorEastAsia" w:cs="Times New Roman"/>
          <w:szCs w:val="22"/>
          <w:lang w:val="fr-FR"/>
        </w:rPr>
        <w:t xml:space="preserve">iste de toute évaluation ou étude, réalisée par les membres de l'équipe d'évaluation au cours des </w:t>
      </w:r>
      <w:r w:rsidR="00FD0A30">
        <w:rPr>
          <w:rFonts w:eastAsiaTheme="majorEastAsia" w:cs="Times New Roman"/>
          <w:szCs w:val="22"/>
          <w:lang w:val="fr-FR"/>
        </w:rPr>
        <w:t>5</w:t>
      </w:r>
      <w:r w:rsidRPr="00E57C58">
        <w:rPr>
          <w:rFonts w:eastAsiaTheme="majorEastAsia" w:cs="Times New Roman"/>
          <w:szCs w:val="22"/>
          <w:lang w:val="fr-FR"/>
        </w:rPr>
        <w:t xml:space="preserve"> dernières années ou actuellement en cours, pertinente dans le contexte de cette évaluation. La liste doit comprendre les informations suivantes :</w:t>
      </w:r>
    </w:p>
    <w:p w14:paraId="20104B37" w14:textId="77777777" w:rsidR="002B71A3" w:rsidRPr="00C13A0A" w:rsidRDefault="002B71A3" w:rsidP="002B71A3">
      <w:pPr>
        <w:spacing w:after="0" w:line="240" w:lineRule="auto"/>
        <w:jc w:val="both"/>
        <w:textAlignment w:val="baseline"/>
        <w:rPr>
          <w:rFonts w:eastAsia="Times New Roman" w:cs="Times New Roman"/>
          <w:szCs w:val="22"/>
          <w:lang w:val="fr-FR"/>
        </w:rPr>
      </w:pPr>
    </w:p>
    <w:p w14:paraId="437EF92A" w14:textId="681AB15A" w:rsidR="002B71A3" w:rsidRPr="00E57C58" w:rsidRDefault="002B71A3" w:rsidP="002B71A3">
      <w:pPr>
        <w:numPr>
          <w:ilvl w:val="0"/>
          <w:numId w:val="46"/>
        </w:numPr>
        <w:spacing w:after="0" w:line="240" w:lineRule="auto"/>
        <w:jc w:val="both"/>
        <w:textAlignment w:val="baseline"/>
        <w:rPr>
          <w:rFonts w:eastAsiaTheme="majorEastAsia" w:cs="Times New Roman"/>
          <w:color w:val="000000"/>
          <w:szCs w:val="22"/>
          <w:lang w:val="fr-FR"/>
        </w:rPr>
      </w:pPr>
      <w:r w:rsidRPr="00E57C58">
        <w:rPr>
          <w:rFonts w:eastAsiaTheme="majorEastAsia" w:cs="Times New Roman"/>
          <w:color w:val="000000"/>
          <w:szCs w:val="22"/>
          <w:lang w:val="fr-FR"/>
        </w:rPr>
        <w:t xml:space="preserve">le titre du rapport final ; </w:t>
      </w:r>
    </w:p>
    <w:p w14:paraId="79299CDE" w14:textId="17FFF716" w:rsidR="002B71A3" w:rsidRPr="00E57C58" w:rsidRDefault="002B71A3" w:rsidP="002B71A3">
      <w:pPr>
        <w:numPr>
          <w:ilvl w:val="0"/>
          <w:numId w:val="46"/>
        </w:numPr>
        <w:spacing w:after="0" w:line="240" w:lineRule="auto"/>
        <w:jc w:val="both"/>
        <w:textAlignment w:val="baseline"/>
        <w:rPr>
          <w:rFonts w:eastAsiaTheme="majorEastAsia" w:cs="Times New Roman"/>
          <w:color w:val="000000"/>
          <w:szCs w:val="22"/>
          <w:lang w:val="fr-FR"/>
        </w:rPr>
      </w:pPr>
      <w:r w:rsidRPr="00E57C58">
        <w:rPr>
          <w:rFonts w:eastAsiaTheme="majorEastAsia" w:cs="Times New Roman"/>
          <w:color w:val="000000"/>
          <w:szCs w:val="22"/>
          <w:lang w:val="fr-FR"/>
        </w:rPr>
        <w:t xml:space="preserve">le type d'acteurs de la coopération au développement couverts par l'évaluation ; </w:t>
      </w:r>
    </w:p>
    <w:p w14:paraId="4C73DDF8" w14:textId="6C1368A2" w:rsidR="002B71A3" w:rsidRPr="00E57C58" w:rsidRDefault="002B71A3" w:rsidP="002B71A3">
      <w:pPr>
        <w:numPr>
          <w:ilvl w:val="0"/>
          <w:numId w:val="46"/>
        </w:numPr>
        <w:spacing w:after="0" w:line="240" w:lineRule="auto"/>
        <w:jc w:val="both"/>
        <w:textAlignment w:val="baseline"/>
        <w:rPr>
          <w:rFonts w:eastAsiaTheme="majorEastAsia" w:cs="Times New Roman"/>
          <w:color w:val="000000"/>
          <w:szCs w:val="22"/>
          <w:lang w:val="fr-FR"/>
        </w:rPr>
      </w:pPr>
      <w:r w:rsidRPr="00E57C58">
        <w:rPr>
          <w:rFonts w:eastAsiaTheme="majorEastAsia" w:cs="Times New Roman"/>
          <w:color w:val="000000"/>
          <w:szCs w:val="22"/>
          <w:lang w:val="fr-FR"/>
        </w:rPr>
        <w:t xml:space="preserve">le type d'évaluation (ex-ante, mi-parcours, finale ou ex-post) ; </w:t>
      </w:r>
    </w:p>
    <w:p w14:paraId="14174D89" w14:textId="427F736E" w:rsidR="002B71A3" w:rsidRPr="00E57C58" w:rsidRDefault="002B71A3" w:rsidP="002B71A3">
      <w:pPr>
        <w:numPr>
          <w:ilvl w:val="0"/>
          <w:numId w:val="46"/>
        </w:numPr>
        <w:spacing w:after="0" w:line="240" w:lineRule="auto"/>
        <w:jc w:val="both"/>
        <w:textAlignment w:val="baseline"/>
        <w:rPr>
          <w:rFonts w:eastAsiaTheme="majorEastAsia" w:cs="Times New Roman"/>
          <w:color w:val="000000"/>
          <w:szCs w:val="22"/>
          <w:lang w:val="fr-FR"/>
        </w:rPr>
      </w:pPr>
      <w:r w:rsidRPr="00E57C58">
        <w:rPr>
          <w:rFonts w:eastAsiaTheme="majorEastAsia" w:cs="Times New Roman"/>
          <w:color w:val="000000"/>
          <w:szCs w:val="22"/>
          <w:lang w:val="fr-FR"/>
        </w:rPr>
        <w:t xml:space="preserve">le sujet, le secteur ou le thème de l'évaluation ; </w:t>
      </w:r>
    </w:p>
    <w:p w14:paraId="5D063D76" w14:textId="67EE72B9" w:rsidR="002B71A3" w:rsidRPr="00E57C58" w:rsidRDefault="002B71A3" w:rsidP="002B71A3">
      <w:pPr>
        <w:numPr>
          <w:ilvl w:val="0"/>
          <w:numId w:val="46"/>
        </w:numPr>
        <w:spacing w:after="0" w:line="240" w:lineRule="auto"/>
        <w:jc w:val="both"/>
        <w:textAlignment w:val="baseline"/>
        <w:rPr>
          <w:rFonts w:eastAsiaTheme="majorEastAsia" w:cs="Times New Roman"/>
          <w:color w:val="000000"/>
          <w:szCs w:val="22"/>
          <w:lang w:val="fr-FR"/>
        </w:rPr>
      </w:pPr>
      <w:r w:rsidRPr="00E57C58">
        <w:rPr>
          <w:rFonts w:eastAsiaTheme="majorEastAsia" w:cs="Times New Roman"/>
          <w:color w:val="000000"/>
          <w:szCs w:val="22"/>
          <w:lang w:val="fr-FR"/>
        </w:rPr>
        <w:t xml:space="preserve">la composition de l'équipe d'évaluation ; </w:t>
      </w:r>
    </w:p>
    <w:p w14:paraId="5370B6A7" w14:textId="2B776878" w:rsidR="002B71A3" w:rsidRPr="00E57C58" w:rsidRDefault="002B71A3" w:rsidP="002B71A3">
      <w:pPr>
        <w:numPr>
          <w:ilvl w:val="0"/>
          <w:numId w:val="46"/>
        </w:numPr>
        <w:spacing w:after="0" w:line="240" w:lineRule="auto"/>
        <w:jc w:val="both"/>
        <w:textAlignment w:val="baseline"/>
        <w:rPr>
          <w:rFonts w:eastAsiaTheme="majorEastAsia" w:cs="Times New Roman"/>
          <w:color w:val="000000"/>
          <w:szCs w:val="22"/>
          <w:lang w:val="fr-FR"/>
        </w:rPr>
      </w:pPr>
      <w:r w:rsidRPr="00E57C58">
        <w:rPr>
          <w:rFonts w:eastAsiaTheme="majorEastAsia" w:cs="Times New Roman"/>
          <w:color w:val="000000"/>
          <w:szCs w:val="22"/>
          <w:lang w:val="fr-FR"/>
        </w:rPr>
        <w:t xml:space="preserve">le client de l'évaluation ; </w:t>
      </w:r>
    </w:p>
    <w:p w14:paraId="35BFA4D2" w14:textId="77777777" w:rsidR="002B71A3" w:rsidRPr="00E57C58" w:rsidRDefault="002B71A3" w:rsidP="002B71A3">
      <w:pPr>
        <w:numPr>
          <w:ilvl w:val="0"/>
          <w:numId w:val="46"/>
        </w:numPr>
        <w:spacing w:after="0" w:line="240" w:lineRule="auto"/>
        <w:jc w:val="both"/>
        <w:textAlignment w:val="baseline"/>
        <w:rPr>
          <w:rFonts w:eastAsiaTheme="majorEastAsia" w:cs="Times New Roman"/>
          <w:color w:val="000000"/>
          <w:szCs w:val="22"/>
          <w:lang w:val="fr-FR"/>
        </w:rPr>
      </w:pPr>
      <w:r w:rsidRPr="00E57C58">
        <w:rPr>
          <w:rFonts w:eastAsiaTheme="majorEastAsia" w:cs="Times New Roman"/>
          <w:color w:val="000000"/>
          <w:szCs w:val="22"/>
          <w:lang w:val="fr-FR"/>
        </w:rPr>
        <w:t xml:space="preserve">le nombre total de jours consacrés à l'évaluation (en la distinguant de la partie réalisée sur le terrain) ; </w:t>
      </w:r>
    </w:p>
    <w:p w14:paraId="6D1BE76E" w14:textId="5B0DA6AA" w:rsidR="00C13A0A" w:rsidRPr="00C13A0A" w:rsidRDefault="002B71A3" w:rsidP="002B71A3">
      <w:pPr>
        <w:numPr>
          <w:ilvl w:val="0"/>
          <w:numId w:val="46"/>
        </w:numPr>
        <w:spacing w:after="0" w:line="240" w:lineRule="auto"/>
        <w:jc w:val="both"/>
        <w:textAlignment w:val="baseline"/>
        <w:rPr>
          <w:rFonts w:eastAsiaTheme="majorEastAsia" w:cs="Times New Roman"/>
          <w:color w:val="000000"/>
          <w:szCs w:val="22"/>
          <w:lang w:val="fr-FR"/>
        </w:rPr>
      </w:pPr>
      <w:r w:rsidRPr="00E57C58">
        <w:rPr>
          <w:rFonts w:eastAsiaTheme="majorEastAsia" w:cs="Times New Roman"/>
          <w:color w:val="000000"/>
          <w:szCs w:val="22"/>
          <w:lang w:val="fr-FR"/>
        </w:rPr>
        <w:t>la date de remise du rapport final.</w:t>
      </w:r>
    </w:p>
    <w:p w14:paraId="628A4EA9" w14:textId="77777777" w:rsidR="00C13A0A" w:rsidRPr="00C13A0A" w:rsidRDefault="00C13A0A" w:rsidP="00C13A0A">
      <w:pPr>
        <w:spacing w:after="0" w:line="240" w:lineRule="auto"/>
        <w:jc w:val="both"/>
        <w:textAlignment w:val="baseline"/>
        <w:rPr>
          <w:rFonts w:eastAsia="Times New Roman" w:cs="Times New Roman"/>
          <w:szCs w:val="22"/>
          <w:lang w:val="fr-FR"/>
        </w:rPr>
      </w:pPr>
    </w:p>
    <w:p w14:paraId="4E79B94B" w14:textId="2EC650E2" w:rsidR="00E57C58" w:rsidRPr="00E57C58" w:rsidRDefault="00B54F60" w:rsidP="00E57C58">
      <w:pPr>
        <w:pStyle w:val="ListParagraph"/>
        <w:numPr>
          <w:ilvl w:val="0"/>
          <w:numId w:val="39"/>
        </w:numPr>
        <w:spacing w:after="0" w:line="240" w:lineRule="auto"/>
        <w:jc w:val="both"/>
        <w:textAlignment w:val="baseline"/>
        <w:rPr>
          <w:rFonts w:eastAsia="Times New Roman" w:cs="Times New Roman"/>
          <w:szCs w:val="22"/>
          <w:lang w:val="fr-FR"/>
        </w:rPr>
      </w:pPr>
      <w:r w:rsidRPr="00E57C58">
        <w:rPr>
          <w:rFonts w:eastAsia="Times New Roman" w:cs="Times New Roman"/>
          <w:szCs w:val="22"/>
          <w:lang w:val="fr-FR"/>
        </w:rPr>
        <w:t>Les statuts ou tout autre document attestant du mandat du ou des signataires ;</w:t>
      </w:r>
    </w:p>
    <w:p w14:paraId="0919B164" w14:textId="77777777" w:rsidR="00E57C58" w:rsidRPr="00E57C58" w:rsidRDefault="00E57C58" w:rsidP="00E57C58">
      <w:pPr>
        <w:spacing w:after="0" w:line="240" w:lineRule="auto"/>
        <w:jc w:val="both"/>
        <w:textAlignment w:val="baseline"/>
        <w:rPr>
          <w:rFonts w:eastAsia="Times New Roman" w:cs="Times New Roman"/>
          <w:szCs w:val="22"/>
          <w:lang w:val="fr-FR"/>
        </w:rPr>
      </w:pPr>
    </w:p>
    <w:p w14:paraId="27891ACA" w14:textId="14757A35" w:rsidR="00E57C58" w:rsidRPr="00E57C58" w:rsidRDefault="007F2DF8" w:rsidP="00E57C58">
      <w:pPr>
        <w:pStyle w:val="ListParagraph"/>
        <w:numPr>
          <w:ilvl w:val="0"/>
          <w:numId w:val="39"/>
        </w:numPr>
        <w:spacing w:after="0" w:line="240" w:lineRule="auto"/>
        <w:jc w:val="both"/>
        <w:textAlignment w:val="baseline"/>
        <w:rPr>
          <w:rFonts w:eastAsia="Times New Roman" w:cs="Times New Roman"/>
          <w:szCs w:val="22"/>
          <w:lang w:val="fr-FR"/>
        </w:rPr>
      </w:pPr>
      <w:r>
        <w:rPr>
          <w:rFonts w:eastAsia="Times New Roman" w:cs="Times New Roman"/>
          <w:szCs w:val="22"/>
          <w:lang w:val="fr-FR"/>
        </w:rPr>
        <w:t xml:space="preserve">Le </w:t>
      </w:r>
      <w:r w:rsidR="00E57C58" w:rsidRPr="00E57C58">
        <w:rPr>
          <w:rFonts w:eastAsia="Times New Roman" w:cs="Times New Roman"/>
          <w:szCs w:val="22"/>
          <w:lang w:val="fr-FR"/>
        </w:rPr>
        <w:t>CV détaillé des personnes proposées pour exécuter les services décrits dans la partie B. Les curricula vitae des membres de l'équipe d'évaluation sont suivis d'une déclaration de disponibilité</w:t>
      </w:r>
      <w:r w:rsidR="00617024">
        <w:rPr>
          <w:rFonts w:eastAsia="Times New Roman" w:cs="Times New Roman"/>
          <w:szCs w:val="22"/>
          <w:lang w:val="fr-FR"/>
        </w:rPr>
        <w:t> ;</w:t>
      </w:r>
    </w:p>
    <w:p w14:paraId="0817560E" w14:textId="77777777" w:rsidR="00E57C58" w:rsidRPr="00E57C58" w:rsidRDefault="00E57C58" w:rsidP="00E57C58">
      <w:pPr>
        <w:pStyle w:val="ListParagraph"/>
        <w:spacing w:after="0" w:line="240" w:lineRule="auto"/>
        <w:ind w:left="360"/>
        <w:jc w:val="both"/>
        <w:textAlignment w:val="baseline"/>
        <w:rPr>
          <w:rFonts w:eastAsia="Times New Roman" w:cs="Times New Roman"/>
          <w:szCs w:val="22"/>
          <w:lang w:val="fr-FR"/>
        </w:rPr>
      </w:pPr>
    </w:p>
    <w:p w14:paraId="48060D18" w14:textId="33BDA538" w:rsidR="00E57C58" w:rsidRDefault="00E57C58" w:rsidP="00E57C58">
      <w:pPr>
        <w:pStyle w:val="ListParagraph"/>
        <w:numPr>
          <w:ilvl w:val="0"/>
          <w:numId w:val="39"/>
        </w:numPr>
        <w:spacing w:after="0" w:line="240" w:lineRule="auto"/>
        <w:jc w:val="both"/>
        <w:textAlignment w:val="baseline"/>
        <w:rPr>
          <w:rFonts w:eastAsia="Times New Roman" w:cs="Times New Roman"/>
          <w:szCs w:val="22"/>
          <w:lang w:val="fr-FR"/>
        </w:rPr>
      </w:pPr>
      <w:r w:rsidRPr="00E57C58">
        <w:rPr>
          <w:rFonts w:eastAsia="Times New Roman" w:cs="Times New Roman"/>
          <w:szCs w:val="22"/>
          <w:lang w:val="fr-FR"/>
        </w:rPr>
        <w:t>Les annexes comprennent également une description des mesures ESG (environnement, social et gouvernance) auxquelles le soumissionnaire s'engage dans le cadre de ce contrat.</w:t>
      </w:r>
    </w:p>
    <w:p w14:paraId="6E8BAF5F" w14:textId="77777777" w:rsidR="007F2DF8" w:rsidRPr="00A41F91" w:rsidRDefault="007F2DF8" w:rsidP="00A41F91">
      <w:pPr>
        <w:pStyle w:val="ListParagraph"/>
        <w:rPr>
          <w:rFonts w:eastAsia="Times New Roman" w:cs="Times New Roman"/>
          <w:szCs w:val="22"/>
          <w:lang w:val="fr-FR"/>
        </w:rPr>
      </w:pPr>
    </w:p>
    <w:p w14:paraId="0D78126A" w14:textId="77777777" w:rsidR="007F2DF8" w:rsidRPr="00A41F91" w:rsidRDefault="007F2DF8" w:rsidP="00A41F91">
      <w:pPr>
        <w:spacing w:after="0" w:line="240" w:lineRule="auto"/>
        <w:jc w:val="both"/>
        <w:textAlignment w:val="baseline"/>
        <w:rPr>
          <w:rFonts w:eastAsia="Times New Roman" w:cs="Times New Roman"/>
          <w:szCs w:val="22"/>
          <w:lang w:val="fr-FR"/>
        </w:rPr>
      </w:pPr>
    </w:p>
    <w:p w14:paraId="30C386A6" w14:textId="4E191200" w:rsidR="00BF3335" w:rsidRPr="00BF3335" w:rsidRDefault="00BF3335" w:rsidP="00E57C58">
      <w:pPr>
        <w:pStyle w:val="Vade-mecumtitre2"/>
        <w:numPr>
          <w:ilvl w:val="1"/>
          <w:numId w:val="0"/>
        </w:numPr>
      </w:pPr>
      <w:bookmarkStart w:id="764" w:name="_Toc116387820"/>
      <w:bookmarkStart w:id="765" w:name="_Toc117603288"/>
      <w:r>
        <w:t xml:space="preserve">C1.2 </w:t>
      </w:r>
      <w:bookmarkEnd w:id="761"/>
      <w:bookmarkEnd w:id="762"/>
      <w:bookmarkEnd w:id="763"/>
      <w:r w:rsidR="00465AEC">
        <w:t>Offre financière</w:t>
      </w:r>
      <w:bookmarkEnd w:id="764"/>
      <w:bookmarkEnd w:id="765"/>
    </w:p>
    <w:p w14:paraId="58116B84" w14:textId="46F70F99" w:rsidR="00BF3335" w:rsidRPr="00BC6F78" w:rsidRDefault="00BC6F78" w:rsidP="0019242C">
      <w:pPr>
        <w:spacing w:line="240" w:lineRule="auto"/>
        <w:jc w:val="both"/>
        <w:rPr>
          <w:rFonts w:eastAsia="Roboto" w:cs="Roboto"/>
          <w:color w:val="1F497D" w:themeColor="text2"/>
          <w:sz w:val="24"/>
          <w:szCs w:val="24"/>
          <w:lang w:val="fr-BE"/>
        </w:rPr>
      </w:pPr>
      <w:r w:rsidRPr="00221C18">
        <w:rPr>
          <w:lang w:val="fr-BE"/>
        </w:rPr>
        <w:t>Pour faciliter la comparaison des offres, il est demandé que le tableau indicatif ci-dessous soit utilisé comme base lors de la préparation de l'offre financière. À partir du tableau de l'offre financière, il devrait être facile de déduire combien de jours et à quel prix chaque évaluateur travaille, combien coûte chaque phase de l'évaluation, combien coûte chaque mission, combien coûte la traduction, etc.</w:t>
      </w:r>
    </w:p>
    <w:tbl>
      <w:tblPr>
        <w:tblW w:w="92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2"/>
        <w:gridCol w:w="1134"/>
        <w:gridCol w:w="1417"/>
        <w:gridCol w:w="993"/>
        <w:gridCol w:w="821"/>
        <w:gridCol w:w="1134"/>
        <w:gridCol w:w="1305"/>
      </w:tblGrid>
      <w:tr w:rsidR="00BF3335" w:rsidRPr="00BF3335" w14:paraId="246E1823" w14:textId="77777777" w:rsidTr="000C341A">
        <w:trPr>
          <w:trHeight w:val="591"/>
        </w:trPr>
        <w:tc>
          <w:tcPr>
            <w:tcW w:w="2452" w:type="dxa"/>
            <w:shd w:val="clear" w:color="auto" w:fill="auto"/>
            <w:vAlign w:val="center"/>
          </w:tcPr>
          <w:p w14:paraId="245E4002" w14:textId="497C152C" w:rsidR="00BF3335" w:rsidRPr="00BF3335" w:rsidRDefault="00E7356B" w:rsidP="00BF3335">
            <w:pPr>
              <w:pStyle w:val="Vade-Mecum0"/>
              <w:rPr>
                <w:b/>
                <w:bCs/>
                <w:sz w:val="20"/>
                <w:szCs w:val="20"/>
                <w:lang w:val="nl-NL"/>
              </w:rPr>
            </w:pPr>
            <w:r>
              <w:rPr>
                <w:b/>
                <w:bCs/>
                <w:sz w:val="20"/>
                <w:szCs w:val="20"/>
                <w:lang w:val="nl-NL"/>
              </w:rPr>
              <w:t>Poste de dépense</w:t>
            </w:r>
          </w:p>
        </w:tc>
        <w:tc>
          <w:tcPr>
            <w:tcW w:w="1134" w:type="dxa"/>
            <w:shd w:val="clear" w:color="auto" w:fill="auto"/>
            <w:vAlign w:val="center"/>
          </w:tcPr>
          <w:p w14:paraId="4ECA4572" w14:textId="2CB8F752" w:rsidR="00BF3335" w:rsidRPr="00BF3335" w:rsidRDefault="00E7356B" w:rsidP="000C341A">
            <w:pPr>
              <w:pStyle w:val="Vade-Mecum0"/>
              <w:jc w:val="center"/>
              <w:rPr>
                <w:bCs/>
                <w:sz w:val="20"/>
                <w:szCs w:val="20"/>
                <w:lang w:val="nl-NL"/>
              </w:rPr>
            </w:pPr>
            <w:r>
              <w:rPr>
                <w:bCs/>
                <w:sz w:val="20"/>
                <w:szCs w:val="20"/>
                <w:lang w:val="nl-NL"/>
              </w:rPr>
              <w:t>Unité</w:t>
            </w:r>
          </w:p>
        </w:tc>
        <w:tc>
          <w:tcPr>
            <w:tcW w:w="1417" w:type="dxa"/>
            <w:shd w:val="clear" w:color="auto" w:fill="auto"/>
            <w:vAlign w:val="center"/>
          </w:tcPr>
          <w:p w14:paraId="40D71383" w14:textId="43A484FA" w:rsidR="00BF3335" w:rsidRPr="00BF3335" w:rsidRDefault="00E7356B" w:rsidP="000C341A">
            <w:pPr>
              <w:pStyle w:val="Vade-Mecum0"/>
              <w:jc w:val="center"/>
              <w:rPr>
                <w:bCs/>
                <w:sz w:val="20"/>
                <w:szCs w:val="20"/>
                <w:lang w:val="nl-NL"/>
              </w:rPr>
            </w:pPr>
            <w:r>
              <w:rPr>
                <w:bCs/>
                <w:sz w:val="20"/>
                <w:szCs w:val="20"/>
                <w:lang w:val="nl-NL"/>
              </w:rPr>
              <w:t xml:space="preserve">Coût </w:t>
            </w:r>
            <w:r w:rsidR="000C341A">
              <w:rPr>
                <w:bCs/>
                <w:sz w:val="20"/>
                <w:szCs w:val="20"/>
                <w:lang w:val="nl-NL"/>
              </w:rPr>
              <w:t>par unité</w:t>
            </w:r>
          </w:p>
        </w:tc>
        <w:tc>
          <w:tcPr>
            <w:tcW w:w="993" w:type="dxa"/>
            <w:shd w:val="clear" w:color="auto" w:fill="auto"/>
            <w:vAlign w:val="center"/>
          </w:tcPr>
          <w:p w14:paraId="16144E0D" w14:textId="0C5DA04A" w:rsidR="00BF3335" w:rsidRPr="00BF3335" w:rsidRDefault="000C341A" w:rsidP="00BF3335">
            <w:pPr>
              <w:pStyle w:val="Vade-Mecum0"/>
              <w:rPr>
                <w:bCs/>
                <w:sz w:val="20"/>
                <w:szCs w:val="20"/>
                <w:lang w:val="nl-NL"/>
              </w:rPr>
            </w:pPr>
            <w:r>
              <w:rPr>
                <w:bCs/>
                <w:sz w:val="20"/>
                <w:szCs w:val="20"/>
                <w:lang w:val="nl-NL"/>
              </w:rPr>
              <w:t>Quantité</w:t>
            </w:r>
          </w:p>
        </w:tc>
        <w:tc>
          <w:tcPr>
            <w:tcW w:w="821" w:type="dxa"/>
            <w:shd w:val="clear" w:color="auto" w:fill="auto"/>
            <w:vAlign w:val="center"/>
          </w:tcPr>
          <w:p w14:paraId="24030AD0" w14:textId="0A19063A" w:rsidR="00BF3335" w:rsidRPr="00BF3335" w:rsidRDefault="00BF3335" w:rsidP="00BF3335">
            <w:pPr>
              <w:pStyle w:val="Vade-Mecum0"/>
              <w:rPr>
                <w:bCs/>
                <w:sz w:val="20"/>
                <w:szCs w:val="20"/>
                <w:lang w:val="nl-NL"/>
              </w:rPr>
            </w:pPr>
            <w:r w:rsidRPr="00BF3335">
              <w:rPr>
                <w:bCs/>
                <w:sz w:val="20"/>
                <w:szCs w:val="20"/>
                <w:lang w:val="nl-NL"/>
              </w:rPr>
              <w:t>T</w:t>
            </w:r>
            <w:r w:rsidR="000C341A">
              <w:rPr>
                <w:bCs/>
                <w:sz w:val="20"/>
                <w:szCs w:val="20"/>
                <w:lang w:val="nl-NL"/>
              </w:rPr>
              <w:t>otal</w:t>
            </w:r>
          </w:p>
        </w:tc>
        <w:tc>
          <w:tcPr>
            <w:tcW w:w="1134" w:type="dxa"/>
            <w:vAlign w:val="center"/>
          </w:tcPr>
          <w:p w14:paraId="23C288FC" w14:textId="40530D24" w:rsidR="00BF3335" w:rsidRPr="00BF3335" w:rsidRDefault="000C341A" w:rsidP="00BF3335">
            <w:pPr>
              <w:pStyle w:val="Vade-Mecum0"/>
              <w:rPr>
                <w:bCs/>
                <w:sz w:val="20"/>
                <w:szCs w:val="20"/>
                <w:lang w:val="nl-NL"/>
              </w:rPr>
            </w:pPr>
            <w:r>
              <w:rPr>
                <w:bCs/>
                <w:sz w:val="20"/>
                <w:szCs w:val="20"/>
                <w:lang w:val="nl-NL"/>
              </w:rPr>
              <w:t>TVA</w:t>
            </w:r>
          </w:p>
        </w:tc>
        <w:tc>
          <w:tcPr>
            <w:tcW w:w="1305" w:type="dxa"/>
            <w:shd w:val="clear" w:color="auto" w:fill="FFFFFF"/>
            <w:vAlign w:val="center"/>
          </w:tcPr>
          <w:p w14:paraId="790DE098" w14:textId="12DC0BC1" w:rsidR="00BF3335" w:rsidRPr="00BF3335" w:rsidRDefault="00BF3335" w:rsidP="00BF3335">
            <w:pPr>
              <w:pStyle w:val="Vade-Mecum0"/>
              <w:rPr>
                <w:bCs/>
                <w:sz w:val="20"/>
                <w:szCs w:val="20"/>
                <w:lang w:val="nl-NL"/>
              </w:rPr>
            </w:pPr>
            <w:r w:rsidRPr="00BF3335">
              <w:rPr>
                <w:bCs/>
                <w:sz w:val="20"/>
                <w:szCs w:val="20"/>
                <w:lang w:val="nl-NL"/>
              </w:rPr>
              <w:t>Total (</w:t>
            </w:r>
            <w:r w:rsidR="000C341A">
              <w:rPr>
                <w:bCs/>
                <w:sz w:val="20"/>
                <w:szCs w:val="20"/>
                <w:lang w:val="nl-NL"/>
              </w:rPr>
              <w:t>avec TVA</w:t>
            </w:r>
            <w:r w:rsidRPr="00BF3335">
              <w:rPr>
                <w:bCs/>
                <w:sz w:val="20"/>
                <w:szCs w:val="20"/>
                <w:lang w:val="nl-NL"/>
              </w:rPr>
              <w:t>)</w:t>
            </w:r>
          </w:p>
        </w:tc>
      </w:tr>
      <w:tr w:rsidR="00BF3335" w:rsidRPr="00BF3335" w14:paraId="72293D96" w14:textId="77777777" w:rsidTr="000C341A">
        <w:trPr>
          <w:trHeight w:val="255"/>
        </w:trPr>
        <w:tc>
          <w:tcPr>
            <w:tcW w:w="2452" w:type="dxa"/>
            <w:shd w:val="clear" w:color="auto" w:fill="auto"/>
          </w:tcPr>
          <w:p w14:paraId="2EA0C65D" w14:textId="5A005A15" w:rsidR="00BF3335" w:rsidRPr="000C341A" w:rsidRDefault="000C341A" w:rsidP="00DA6338">
            <w:pPr>
              <w:pStyle w:val="Vade-Mecum0"/>
              <w:spacing w:line="240" w:lineRule="auto"/>
              <w:rPr>
                <w:sz w:val="20"/>
                <w:szCs w:val="20"/>
              </w:rPr>
            </w:pPr>
            <w:r w:rsidRPr="000C341A">
              <w:rPr>
                <w:sz w:val="20"/>
                <w:szCs w:val="20"/>
              </w:rPr>
              <w:t>Salaire expert</w:t>
            </w:r>
            <w:r w:rsidR="00BF3335" w:rsidRPr="000C341A">
              <w:rPr>
                <w:sz w:val="20"/>
                <w:szCs w:val="20"/>
              </w:rPr>
              <w:t xml:space="preserve"> … [</w:t>
            </w:r>
            <w:r w:rsidR="00BF3335" w:rsidRPr="000C341A">
              <w:rPr>
                <w:i/>
                <w:sz w:val="20"/>
                <w:szCs w:val="20"/>
              </w:rPr>
              <w:t>n</w:t>
            </w:r>
            <w:r w:rsidRPr="000C341A">
              <w:rPr>
                <w:i/>
                <w:sz w:val="20"/>
                <w:szCs w:val="20"/>
              </w:rPr>
              <w:t>om de l</w:t>
            </w:r>
            <w:r>
              <w:rPr>
                <w:i/>
                <w:sz w:val="20"/>
                <w:szCs w:val="20"/>
              </w:rPr>
              <w:t>’expert</w:t>
            </w:r>
            <w:r w:rsidRPr="000C341A">
              <w:rPr>
                <w:sz w:val="20"/>
                <w:szCs w:val="20"/>
              </w:rPr>
              <w:t>]</w:t>
            </w:r>
          </w:p>
        </w:tc>
        <w:tc>
          <w:tcPr>
            <w:tcW w:w="1134" w:type="dxa"/>
            <w:shd w:val="clear" w:color="auto" w:fill="auto"/>
            <w:noWrap/>
            <w:vAlign w:val="center"/>
          </w:tcPr>
          <w:p w14:paraId="68E6BAD8" w14:textId="02E9F64D" w:rsidR="00BF3335" w:rsidRPr="00BF3335" w:rsidRDefault="000C341A" w:rsidP="00BF3335">
            <w:pPr>
              <w:pStyle w:val="Vade-Mecum0"/>
              <w:rPr>
                <w:sz w:val="20"/>
                <w:szCs w:val="20"/>
                <w:lang w:val="nl-NL"/>
              </w:rPr>
            </w:pPr>
            <w:r>
              <w:rPr>
                <w:sz w:val="20"/>
                <w:szCs w:val="20"/>
                <w:lang w:val="nl-NL"/>
              </w:rPr>
              <w:t>jours</w:t>
            </w:r>
          </w:p>
        </w:tc>
        <w:tc>
          <w:tcPr>
            <w:tcW w:w="1417" w:type="dxa"/>
            <w:shd w:val="clear" w:color="auto" w:fill="auto"/>
            <w:noWrap/>
            <w:vAlign w:val="center"/>
          </w:tcPr>
          <w:p w14:paraId="769AE13C" w14:textId="77777777" w:rsidR="00BF3335" w:rsidRPr="00BF3335" w:rsidRDefault="00BF3335" w:rsidP="00BF3335">
            <w:pPr>
              <w:pStyle w:val="Vade-Mecum0"/>
              <w:rPr>
                <w:sz w:val="20"/>
                <w:szCs w:val="20"/>
                <w:lang w:val="nl-NL"/>
              </w:rPr>
            </w:pPr>
          </w:p>
        </w:tc>
        <w:tc>
          <w:tcPr>
            <w:tcW w:w="993" w:type="dxa"/>
            <w:shd w:val="clear" w:color="auto" w:fill="auto"/>
            <w:noWrap/>
            <w:vAlign w:val="center"/>
          </w:tcPr>
          <w:p w14:paraId="2EBFA2CC" w14:textId="77777777" w:rsidR="00BF3335" w:rsidRPr="00BF3335" w:rsidRDefault="00BF3335" w:rsidP="00BF3335">
            <w:pPr>
              <w:pStyle w:val="Vade-Mecum0"/>
              <w:rPr>
                <w:sz w:val="20"/>
                <w:szCs w:val="20"/>
                <w:lang w:val="nl-NL"/>
              </w:rPr>
            </w:pPr>
          </w:p>
        </w:tc>
        <w:tc>
          <w:tcPr>
            <w:tcW w:w="821" w:type="dxa"/>
            <w:shd w:val="clear" w:color="auto" w:fill="auto"/>
            <w:noWrap/>
            <w:vAlign w:val="center"/>
          </w:tcPr>
          <w:p w14:paraId="08D54A73" w14:textId="77777777" w:rsidR="00BF3335" w:rsidRPr="00BF3335" w:rsidRDefault="00BF3335" w:rsidP="00BF3335">
            <w:pPr>
              <w:pStyle w:val="Vade-Mecum0"/>
              <w:rPr>
                <w:sz w:val="20"/>
                <w:szCs w:val="20"/>
                <w:lang w:val="nl-NL"/>
              </w:rPr>
            </w:pPr>
          </w:p>
        </w:tc>
        <w:tc>
          <w:tcPr>
            <w:tcW w:w="1134" w:type="dxa"/>
            <w:shd w:val="clear" w:color="auto" w:fill="C0C0C0"/>
            <w:vAlign w:val="center"/>
          </w:tcPr>
          <w:p w14:paraId="7995C530" w14:textId="77777777" w:rsidR="00BF3335" w:rsidRPr="00BF3335" w:rsidRDefault="00BF3335" w:rsidP="00BF3335">
            <w:pPr>
              <w:pStyle w:val="Vade-Mecum0"/>
              <w:rPr>
                <w:sz w:val="20"/>
                <w:szCs w:val="20"/>
                <w:lang w:val="nl-NL"/>
              </w:rPr>
            </w:pPr>
          </w:p>
        </w:tc>
        <w:tc>
          <w:tcPr>
            <w:tcW w:w="1305" w:type="dxa"/>
            <w:shd w:val="clear" w:color="auto" w:fill="C0C0C0"/>
            <w:noWrap/>
            <w:vAlign w:val="center"/>
          </w:tcPr>
          <w:p w14:paraId="01BAB11C" w14:textId="77777777" w:rsidR="00BF3335" w:rsidRPr="00BF3335" w:rsidRDefault="00BF3335" w:rsidP="00BF3335">
            <w:pPr>
              <w:pStyle w:val="Vade-Mecum0"/>
              <w:rPr>
                <w:sz w:val="20"/>
                <w:szCs w:val="20"/>
                <w:lang w:val="nl-NL"/>
              </w:rPr>
            </w:pPr>
          </w:p>
        </w:tc>
      </w:tr>
      <w:tr w:rsidR="00BF3335" w:rsidRPr="00BF3335" w14:paraId="2C57ECE1" w14:textId="77777777" w:rsidTr="000C341A">
        <w:trPr>
          <w:trHeight w:val="255"/>
        </w:trPr>
        <w:tc>
          <w:tcPr>
            <w:tcW w:w="2452" w:type="dxa"/>
            <w:shd w:val="clear" w:color="auto" w:fill="auto"/>
          </w:tcPr>
          <w:p w14:paraId="332C8919" w14:textId="364422EB" w:rsidR="00BF3335" w:rsidRPr="007E4C7D" w:rsidRDefault="007E4C7D" w:rsidP="00DA6338">
            <w:pPr>
              <w:pStyle w:val="Vade-Mecum0"/>
              <w:spacing w:line="240" w:lineRule="auto"/>
              <w:rPr>
                <w:sz w:val="20"/>
                <w:szCs w:val="20"/>
              </w:rPr>
            </w:pPr>
            <w:r w:rsidRPr="007E4C7D">
              <w:rPr>
                <w:sz w:val="20"/>
                <w:szCs w:val="20"/>
              </w:rPr>
              <w:t>Salaire expert …[nom de l’expert]</w:t>
            </w:r>
          </w:p>
        </w:tc>
        <w:tc>
          <w:tcPr>
            <w:tcW w:w="1134" w:type="dxa"/>
            <w:shd w:val="clear" w:color="auto" w:fill="auto"/>
            <w:noWrap/>
            <w:vAlign w:val="center"/>
          </w:tcPr>
          <w:p w14:paraId="4E945A53" w14:textId="73A56F15" w:rsidR="00BF3335" w:rsidRPr="00BF3335" w:rsidRDefault="007E4C7D" w:rsidP="00BF3335">
            <w:pPr>
              <w:pStyle w:val="Vade-Mecum0"/>
              <w:rPr>
                <w:sz w:val="20"/>
                <w:szCs w:val="20"/>
                <w:lang w:val="nl-NL"/>
              </w:rPr>
            </w:pPr>
            <w:r>
              <w:rPr>
                <w:sz w:val="20"/>
                <w:szCs w:val="20"/>
                <w:lang w:val="nl-NL"/>
              </w:rPr>
              <w:t>jours</w:t>
            </w:r>
          </w:p>
        </w:tc>
        <w:tc>
          <w:tcPr>
            <w:tcW w:w="1417" w:type="dxa"/>
            <w:shd w:val="clear" w:color="auto" w:fill="auto"/>
            <w:noWrap/>
            <w:vAlign w:val="center"/>
          </w:tcPr>
          <w:p w14:paraId="2C59FE9E" w14:textId="77777777" w:rsidR="00BF3335" w:rsidRPr="00BF3335" w:rsidRDefault="00BF3335" w:rsidP="00BF3335">
            <w:pPr>
              <w:pStyle w:val="Vade-Mecum0"/>
              <w:rPr>
                <w:sz w:val="20"/>
                <w:szCs w:val="20"/>
                <w:lang w:val="nl-NL"/>
              </w:rPr>
            </w:pPr>
          </w:p>
        </w:tc>
        <w:tc>
          <w:tcPr>
            <w:tcW w:w="993" w:type="dxa"/>
            <w:shd w:val="clear" w:color="auto" w:fill="auto"/>
            <w:noWrap/>
            <w:vAlign w:val="center"/>
          </w:tcPr>
          <w:p w14:paraId="1389AC6C" w14:textId="77777777" w:rsidR="00BF3335" w:rsidRPr="00BF3335" w:rsidRDefault="00BF3335" w:rsidP="00BF3335">
            <w:pPr>
              <w:pStyle w:val="Vade-Mecum0"/>
              <w:rPr>
                <w:sz w:val="20"/>
                <w:szCs w:val="20"/>
                <w:lang w:val="nl-NL"/>
              </w:rPr>
            </w:pPr>
          </w:p>
        </w:tc>
        <w:tc>
          <w:tcPr>
            <w:tcW w:w="821" w:type="dxa"/>
            <w:shd w:val="clear" w:color="auto" w:fill="auto"/>
            <w:noWrap/>
            <w:vAlign w:val="center"/>
          </w:tcPr>
          <w:p w14:paraId="23A8677B" w14:textId="77777777" w:rsidR="00BF3335" w:rsidRPr="00BF3335" w:rsidRDefault="00BF3335" w:rsidP="00BF3335">
            <w:pPr>
              <w:pStyle w:val="Vade-Mecum0"/>
              <w:rPr>
                <w:sz w:val="20"/>
                <w:szCs w:val="20"/>
                <w:lang w:val="nl-NL"/>
              </w:rPr>
            </w:pPr>
          </w:p>
        </w:tc>
        <w:tc>
          <w:tcPr>
            <w:tcW w:w="1134" w:type="dxa"/>
            <w:shd w:val="clear" w:color="auto" w:fill="C0C0C0"/>
            <w:vAlign w:val="center"/>
          </w:tcPr>
          <w:p w14:paraId="0E968EA9" w14:textId="77777777" w:rsidR="00BF3335" w:rsidRPr="00BF3335" w:rsidRDefault="00BF3335" w:rsidP="00BF3335">
            <w:pPr>
              <w:pStyle w:val="Vade-Mecum0"/>
              <w:rPr>
                <w:sz w:val="20"/>
                <w:szCs w:val="20"/>
                <w:lang w:val="nl-NL"/>
              </w:rPr>
            </w:pPr>
          </w:p>
        </w:tc>
        <w:tc>
          <w:tcPr>
            <w:tcW w:w="1305" w:type="dxa"/>
            <w:shd w:val="clear" w:color="auto" w:fill="C0C0C0"/>
            <w:noWrap/>
            <w:vAlign w:val="center"/>
          </w:tcPr>
          <w:p w14:paraId="40EBACFB" w14:textId="77777777" w:rsidR="00BF3335" w:rsidRPr="00BF3335" w:rsidRDefault="00BF3335" w:rsidP="00BF3335">
            <w:pPr>
              <w:pStyle w:val="Vade-Mecum0"/>
              <w:rPr>
                <w:sz w:val="20"/>
                <w:szCs w:val="20"/>
                <w:lang w:val="nl-NL"/>
              </w:rPr>
            </w:pPr>
          </w:p>
        </w:tc>
      </w:tr>
      <w:tr w:rsidR="00BF3335" w:rsidRPr="006A3299" w14:paraId="73085FFA" w14:textId="77777777" w:rsidTr="000C341A">
        <w:trPr>
          <w:trHeight w:val="255"/>
        </w:trPr>
        <w:tc>
          <w:tcPr>
            <w:tcW w:w="2452" w:type="dxa"/>
            <w:shd w:val="clear" w:color="auto" w:fill="auto"/>
          </w:tcPr>
          <w:p w14:paraId="44274975" w14:textId="17D6F847" w:rsidR="00BF3335" w:rsidRPr="007E4C7D" w:rsidRDefault="007E4C7D" w:rsidP="00DA6338">
            <w:pPr>
              <w:pStyle w:val="Vade-Mecum0"/>
              <w:spacing w:line="240" w:lineRule="auto"/>
              <w:rPr>
                <w:i/>
                <w:iCs/>
                <w:sz w:val="20"/>
                <w:szCs w:val="20"/>
              </w:rPr>
            </w:pPr>
            <w:r w:rsidRPr="007E4C7D">
              <w:rPr>
                <w:i/>
                <w:iCs/>
                <w:sz w:val="20"/>
                <w:szCs w:val="20"/>
              </w:rPr>
              <w:t>[Ajoutez des lignes selon le nombre d’experts]</w:t>
            </w:r>
          </w:p>
        </w:tc>
        <w:tc>
          <w:tcPr>
            <w:tcW w:w="1134" w:type="dxa"/>
            <w:shd w:val="clear" w:color="auto" w:fill="auto"/>
            <w:noWrap/>
            <w:vAlign w:val="center"/>
          </w:tcPr>
          <w:p w14:paraId="3239DF8D" w14:textId="77777777" w:rsidR="00BF3335" w:rsidRPr="007E4C7D" w:rsidRDefault="00BF3335" w:rsidP="00BF3335">
            <w:pPr>
              <w:pStyle w:val="Vade-Mecum0"/>
              <w:rPr>
                <w:sz w:val="20"/>
                <w:szCs w:val="20"/>
              </w:rPr>
            </w:pPr>
          </w:p>
        </w:tc>
        <w:tc>
          <w:tcPr>
            <w:tcW w:w="1417" w:type="dxa"/>
            <w:shd w:val="clear" w:color="auto" w:fill="auto"/>
            <w:noWrap/>
            <w:vAlign w:val="center"/>
          </w:tcPr>
          <w:p w14:paraId="7141FA16" w14:textId="77777777" w:rsidR="00BF3335" w:rsidRPr="007E4C7D" w:rsidRDefault="00BF3335" w:rsidP="00BF3335">
            <w:pPr>
              <w:pStyle w:val="Vade-Mecum0"/>
              <w:rPr>
                <w:sz w:val="20"/>
                <w:szCs w:val="20"/>
              </w:rPr>
            </w:pPr>
          </w:p>
        </w:tc>
        <w:tc>
          <w:tcPr>
            <w:tcW w:w="993" w:type="dxa"/>
            <w:shd w:val="clear" w:color="auto" w:fill="auto"/>
            <w:noWrap/>
            <w:vAlign w:val="center"/>
          </w:tcPr>
          <w:p w14:paraId="0B242458" w14:textId="77777777" w:rsidR="00BF3335" w:rsidRPr="007E4C7D" w:rsidRDefault="00BF3335" w:rsidP="00BF3335">
            <w:pPr>
              <w:pStyle w:val="Vade-Mecum0"/>
              <w:rPr>
                <w:sz w:val="20"/>
                <w:szCs w:val="20"/>
              </w:rPr>
            </w:pPr>
          </w:p>
        </w:tc>
        <w:tc>
          <w:tcPr>
            <w:tcW w:w="821" w:type="dxa"/>
            <w:shd w:val="clear" w:color="auto" w:fill="auto"/>
            <w:noWrap/>
            <w:vAlign w:val="center"/>
          </w:tcPr>
          <w:p w14:paraId="0492EB4F" w14:textId="77777777" w:rsidR="00BF3335" w:rsidRPr="007E4C7D" w:rsidRDefault="00BF3335" w:rsidP="00BF3335">
            <w:pPr>
              <w:pStyle w:val="Vade-Mecum0"/>
              <w:rPr>
                <w:sz w:val="20"/>
                <w:szCs w:val="20"/>
              </w:rPr>
            </w:pPr>
          </w:p>
        </w:tc>
        <w:tc>
          <w:tcPr>
            <w:tcW w:w="1134" w:type="dxa"/>
            <w:shd w:val="clear" w:color="auto" w:fill="C0C0C0"/>
            <w:vAlign w:val="center"/>
          </w:tcPr>
          <w:p w14:paraId="1359F70A" w14:textId="77777777" w:rsidR="00BF3335" w:rsidRPr="007E4C7D" w:rsidRDefault="00BF3335" w:rsidP="00BF3335">
            <w:pPr>
              <w:pStyle w:val="Vade-Mecum0"/>
              <w:rPr>
                <w:sz w:val="20"/>
                <w:szCs w:val="20"/>
              </w:rPr>
            </w:pPr>
          </w:p>
        </w:tc>
        <w:tc>
          <w:tcPr>
            <w:tcW w:w="1305" w:type="dxa"/>
            <w:shd w:val="clear" w:color="auto" w:fill="C0C0C0"/>
            <w:noWrap/>
            <w:vAlign w:val="center"/>
          </w:tcPr>
          <w:p w14:paraId="7D66FD17" w14:textId="77777777" w:rsidR="00BF3335" w:rsidRPr="007E4C7D" w:rsidRDefault="00BF3335" w:rsidP="00BF3335">
            <w:pPr>
              <w:pStyle w:val="Vade-Mecum0"/>
              <w:rPr>
                <w:sz w:val="20"/>
                <w:szCs w:val="20"/>
              </w:rPr>
            </w:pPr>
          </w:p>
        </w:tc>
      </w:tr>
      <w:tr w:rsidR="00BF3335" w:rsidRPr="00BF3335" w14:paraId="27E1116F" w14:textId="77777777" w:rsidTr="000C341A">
        <w:trPr>
          <w:trHeight w:val="255"/>
        </w:trPr>
        <w:tc>
          <w:tcPr>
            <w:tcW w:w="2452" w:type="dxa"/>
            <w:shd w:val="clear" w:color="auto" w:fill="auto"/>
          </w:tcPr>
          <w:p w14:paraId="2356E725" w14:textId="287F62C1" w:rsidR="00BF3335" w:rsidRPr="00BF3335" w:rsidRDefault="000535D6" w:rsidP="00DA6338">
            <w:pPr>
              <w:pStyle w:val="Vade-Mecum0"/>
              <w:spacing w:line="240" w:lineRule="auto"/>
              <w:rPr>
                <w:sz w:val="20"/>
                <w:szCs w:val="20"/>
                <w:lang w:val="nl-NL"/>
              </w:rPr>
            </w:pPr>
            <w:r w:rsidRPr="000535D6">
              <w:rPr>
                <w:sz w:val="20"/>
                <w:szCs w:val="20"/>
                <w:lang w:val="nl-NL"/>
              </w:rPr>
              <w:t>Transport de l'évaluateur &lt;&gt; Bruxelles</w:t>
            </w:r>
          </w:p>
        </w:tc>
        <w:tc>
          <w:tcPr>
            <w:tcW w:w="1134" w:type="dxa"/>
            <w:shd w:val="clear" w:color="auto" w:fill="auto"/>
            <w:noWrap/>
            <w:vAlign w:val="center"/>
          </w:tcPr>
          <w:p w14:paraId="57EE2A84" w14:textId="77777777" w:rsidR="00BF3335" w:rsidRPr="00BF3335" w:rsidRDefault="00BF3335" w:rsidP="00BF3335">
            <w:pPr>
              <w:pStyle w:val="Vade-Mecum0"/>
              <w:rPr>
                <w:sz w:val="20"/>
                <w:szCs w:val="20"/>
                <w:lang w:val="nl-NL"/>
              </w:rPr>
            </w:pPr>
            <w:r w:rsidRPr="00BF3335">
              <w:rPr>
                <w:sz w:val="20"/>
                <w:szCs w:val="20"/>
                <w:lang w:val="nl-NL"/>
              </w:rPr>
              <w:t>H/T</w:t>
            </w:r>
          </w:p>
        </w:tc>
        <w:tc>
          <w:tcPr>
            <w:tcW w:w="1417" w:type="dxa"/>
            <w:tcBorders>
              <w:bottom w:val="single" w:sz="4" w:space="0" w:color="auto"/>
            </w:tcBorders>
            <w:shd w:val="clear" w:color="auto" w:fill="auto"/>
            <w:noWrap/>
            <w:vAlign w:val="center"/>
          </w:tcPr>
          <w:p w14:paraId="66E1ED02" w14:textId="77777777" w:rsidR="00BF3335" w:rsidRPr="00BF3335" w:rsidRDefault="00BF3335" w:rsidP="00BF3335">
            <w:pPr>
              <w:pStyle w:val="Vade-Mecum0"/>
              <w:rPr>
                <w:sz w:val="20"/>
                <w:szCs w:val="20"/>
                <w:lang w:val="nl-NL"/>
              </w:rPr>
            </w:pPr>
          </w:p>
        </w:tc>
        <w:tc>
          <w:tcPr>
            <w:tcW w:w="993" w:type="dxa"/>
            <w:tcBorders>
              <w:bottom w:val="single" w:sz="4" w:space="0" w:color="auto"/>
            </w:tcBorders>
            <w:shd w:val="clear" w:color="auto" w:fill="auto"/>
            <w:noWrap/>
            <w:vAlign w:val="center"/>
          </w:tcPr>
          <w:p w14:paraId="044E4484" w14:textId="77777777" w:rsidR="00BF3335" w:rsidRPr="00BF3335" w:rsidRDefault="00BF3335" w:rsidP="00BF3335">
            <w:pPr>
              <w:pStyle w:val="Vade-Mecum0"/>
              <w:rPr>
                <w:sz w:val="20"/>
                <w:szCs w:val="20"/>
                <w:lang w:val="nl-NL"/>
              </w:rPr>
            </w:pPr>
          </w:p>
        </w:tc>
        <w:tc>
          <w:tcPr>
            <w:tcW w:w="821" w:type="dxa"/>
            <w:tcBorders>
              <w:bottom w:val="single" w:sz="4" w:space="0" w:color="auto"/>
            </w:tcBorders>
            <w:shd w:val="clear" w:color="auto" w:fill="auto"/>
            <w:noWrap/>
            <w:vAlign w:val="center"/>
          </w:tcPr>
          <w:p w14:paraId="49A726D0" w14:textId="77777777" w:rsidR="00BF3335" w:rsidRPr="00BF3335" w:rsidRDefault="00BF3335" w:rsidP="00BF3335">
            <w:pPr>
              <w:pStyle w:val="Vade-Mecum0"/>
              <w:rPr>
                <w:sz w:val="20"/>
                <w:szCs w:val="20"/>
                <w:lang w:val="nl-NL"/>
              </w:rPr>
            </w:pPr>
          </w:p>
        </w:tc>
        <w:tc>
          <w:tcPr>
            <w:tcW w:w="1134" w:type="dxa"/>
            <w:tcBorders>
              <w:bottom w:val="single" w:sz="4" w:space="0" w:color="auto"/>
            </w:tcBorders>
            <w:shd w:val="clear" w:color="auto" w:fill="C0C0C0"/>
            <w:vAlign w:val="center"/>
          </w:tcPr>
          <w:p w14:paraId="2C88CF82" w14:textId="77777777" w:rsidR="00BF3335" w:rsidRPr="00BF3335" w:rsidRDefault="00BF3335" w:rsidP="00BF3335">
            <w:pPr>
              <w:pStyle w:val="Vade-Mecum0"/>
              <w:rPr>
                <w:sz w:val="20"/>
                <w:szCs w:val="20"/>
                <w:lang w:val="nl-NL"/>
              </w:rPr>
            </w:pPr>
          </w:p>
        </w:tc>
        <w:tc>
          <w:tcPr>
            <w:tcW w:w="1305" w:type="dxa"/>
            <w:shd w:val="clear" w:color="auto" w:fill="C0C0C0"/>
            <w:noWrap/>
            <w:vAlign w:val="center"/>
          </w:tcPr>
          <w:p w14:paraId="178D6ED1" w14:textId="77777777" w:rsidR="00BF3335" w:rsidRPr="00BF3335" w:rsidRDefault="00BF3335" w:rsidP="00BF3335">
            <w:pPr>
              <w:pStyle w:val="Vade-Mecum0"/>
              <w:rPr>
                <w:sz w:val="20"/>
                <w:szCs w:val="20"/>
                <w:lang w:val="nl-NL"/>
              </w:rPr>
            </w:pPr>
          </w:p>
        </w:tc>
      </w:tr>
      <w:tr w:rsidR="00BF3335" w:rsidRPr="00BF3335" w14:paraId="29C8379D" w14:textId="77777777" w:rsidTr="000C341A">
        <w:trPr>
          <w:trHeight w:val="255"/>
        </w:trPr>
        <w:tc>
          <w:tcPr>
            <w:tcW w:w="2452" w:type="dxa"/>
            <w:shd w:val="clear" w:color="auto" w:fill="auto"/>
          </w:tcPr>
          <w:p w14:paraId="00668A12" w14:textId="4E5F75B1" w:rsidR="00BF3335" w:rsidRPr="00BF3335" w:rsidRDefault="00C2567C" w:rsidP="00DA6338">
            <w:pPr>
              <w:pStyle w:val="Vade-Mecum0"/>
              <w:spacing w:line="240" w:lineRule="auto"/>
              <w:rPr>
                <w:sz w:val="20"/>
                <w:szCs w:val="20"/>
                <w:lang w:val="nl-NL"/>
              </w:rPr>
            </w:pPr>
            <w:r w:rsidRPr="00C2567C">
              <w:rPr>
                <w:sz w:val="20"/>
                <w:szCs w:val="20"/>
                <w:lang w:val="nl-NL"/>
              </w:rPr>
              <w:t>Déplacements internationaux</w:t>
            </w:r>
          </w:p>
        </w:tc>
        <w:tc>
          <w:tcPr>
            <w:tcW w:w="1134" w:type="dxa"/>
            <w:shd w:val="clear" w:color="auto" w:fill="auto"/>
            <w:noWrap/>
            <w:vAlign w:val="center"/>
          </w:tcPr>
          <w:p w14:paraId="78CB9799" w14:textId="77777777" w:rsidR="00BF3335" w:rsidRPr="00BF3335" w:rsidRDefault="00BF3335" w:rsidP="00BF3335">
            <w:pPr>
              <w:pStyle w:val="Vade-Mecum0"/>
              <w:rPr>
                <w:sz w:val="20"/>
                <w:szCs w:val="20"/>
                <w:lang w:val="nl-NL"/>
              </w:rPr>
            </w:pPr>
            <w:r w:rsidRPr="00BF3335">
              <w:rPr>
                <w:sz w:val="20"/>
                <w:szCs w:val="20"/>
                <w:lang w:val="nl-NL"/>
              </w:rPr>
              <w:t>H/T</w:t>
            </w:r>
          </w:p>
        </w:tc>
        <w:tc>
          <w:tcPr>
            <w:tcW w:w="1417" w:type="dxa"/>
            <w:tcBorders>
              <w:bottom w:val="single" w:sz="4" w:space="0" w:color="auto"/>
            </w:tcBorders>
            <w:shd w:val="clear" w:color="auto" w:fill="auto"/>
            <w:noWrap/>
            <w:vAlign w:val="center"/>
          </w:tcPr>
          <w:p w14:paraId="3583B83A" w14:textId="77777777" w:rsidR="00BF3335" w:rsidRPr="00BF3335" w:rsidRDefault="00BF3335" w:rsidP="00BF3335">
            <w:pPr>
              <w:pStyle w:val="Vade-Mecum0"/>
              <w:rPr>
                <w:sz w:val="20"/>
                <w:szCs w:val="20"/>
                <w:lang w:val="nl-NL"/>
              </w:rPr>
            </w:pPr>
          </w:p>
        </w:tc>
        <w:tc>
          <w:tcPr>
            <w:tcW w:w="993" w:type="dxa"/>
            <w:tcBorders>
              <w:bottom w:val="single" w:sz="4" w:space="0" w:color="auto"/>
            </w:tcBorders>
            <w:shd w:val="clear" w:color="auto" w:fill="auto"/>
            <w:noWrap/>
            <w:vAlign w:val="center"/>
          </w:tcPr>
          <w:p w14:paraId="193F63A9" w14:textId="77777777" w:rsidR="00BF3335" w:rsidRPr="00BF3335" w:rsidRDefault="00BF3335" w:rsidP="00BF3335">
            <w:pPr>
              <w:pStyle w:val="Vade-Mecum0"/>
              <w:rPr>
                <w:sz w:val="20"/>
                <w:szCs w:val="20"/>
                <w:lang w:val="nl-NL"/>
              </w:rPr>
            </w:pPr>
          </w:p>
        </w:tc>
        <w:tc>
          <w:tcPr>
            <w:tcW w:w="821" w:type="dxa"/>
            <w:tcBorders>
              <w:bottom w:val="single" w:sz="4" w:space="0" w:color="auto"/>
            </w:tcBorders>
            <w:shd w:val="clear" w:color="auto" w:fill="auto"/>
            <w:noWrap/>
            <w:vAlign w:val="center"/>
          </w:tcPr>
          <w:p w14:paraId="2FDF1506" w14:textId="77777777" w:rsidR="00BF3335" w:rsidRPr="00BF3335" w:rsidRDefault="00BF3335" w:rsidP="00BF3335">
            <w:pPr>
              <w:pStyle w:val="Vade-Mecum0"/>
              <w:rPr>
                <w:sz w:val="20"/>
                <w:szCs w:val="20"/>
                <w:lang w:val="nl-NL"/>
              </w:rPr>
            </w:pPr>
          </w:p>
        </w:tc>
        <w:tc>
          <w:tcPr>
            <w:tcW w:w="1134" w:type="dxa"/>
            <w:tcBorders>
              <w:bottom w:val="single" w:sz="4" w:space="0" w:color="auto"/>
            </w:tcBorders>
            <w:shd w:val="clear" w:color="auto" w:fill="C0C0C0"/>
            <w:vAlign w:val="center"/>
          </w:tcPr>
          <w:p w14:paraId="1C365DB9" w14:textId="77777777" w:rsidR="00BF3335" w:rsidRPr="00BF3335" w:rsidRDefault="00BF3335" w:rsidP="00BF3335">
            <w:pPr>
              <w:pStyle w:val="Vade-Mecum0"/>
              <w:rPr>
                <w:sz w:val="20"/>
                <w:szCs w:val="20"/>
                <w:lang w:val="nl-NL"/>
              </w:rPr>
            </w:pPr>
          </w:p>
        </w:tc>
        <w:tc>
          <w:tcPr>
            <w:tcW w:w="1305" w:type="dxa"/>
            <w:shd w:val="clear" w:color="auto" w:fill="C0C0C0"/>
            <w:noWrap/>
            <w:vAlign w:val="center"/>
          </w:tcPr>
          <w:p w14:paraId="6CB6542D" w14:textId="77777777" w:rsidR="00BF3335" w:rsidRPr="00BF3335" w:rsidRDefault="00BF3335" w:rsidP="00BF3335">
            <w:pPr>
              <w:pStyle w:val="Vade-Mecum0"/>
              <w:rPr>
                <w:sz w:val="20"/>
                <w:szCs w:val="20"/>
                <w:lang w:val="nl-NL"/>
              </w:rPr>
            </w:pPr>
          </w:p>
        </w:tc>
      </w:tr>
      <w:tr w:rsidR="00BF3335" w:rsidRPr="00BF3335" w14:paraId="1706F57D" w14:textId="77777777" w:rsidTr="000C341A">
        <w:trPr>
          <w:trHeight w:val="255"/>
        </w:trPr>
        <w:tc>
          <w:tcPr>
            <w:tcW w:w="2452" w:type="dxa"/>
            <w:shd w:val="clear" w:color="auto" w:fill="auto"/>
          </w:tcPr>
          <w:p w14:paraId="010A3FDB" w14:textId="1503A573" w:rsidR="00BF3335" w:rsidRPr="00C2567C" w:rsidRDefault="00C2567C" w:rsidP="00DA6338">
            <w:pPr>
              <w:pStyle w:val="Vade-Mecum0"/>
              <w:spacing w:line="240" w:lineRule="auto"/>
              <w:rPr>
                <w:sz w:val="20"/>
                <w:szCs w:val="20"/>
              </w:rPr>
            </w:pPr>
            <w:r w:rsidRPr="00C2567C">
              <w:rPr>
                <w:sz w:val="20"/>
                <w:szCs w:val="20"/>
              </w:rPr>
              <w:t>Envois de terrain per diem</w:t>
            </w:r>
          </w:p>
        </w:tc>
        <w:tc>
          <w:tcPr>
            <w:tcW w:w="1134" w:type="dxa"/>
            <w:shd w:val="clear" w:color="auto" w:fill="auto"/>
            <w:noWrap/>
            <w:vAlign w:val="center"/>
          </w:tcPr>
          <w:p w14:paraId="0140626B" w14:textId="4C794C3A" w:rsidR="00BF3335" w:rsidRPr="00BF3335" w:rsidRDefault="003940E3" w:rsidP="00BF3335">
            <w:pPr>
              <w:pStyle w:val="Vade-Mecum0"/>
              <w:rPr>
                <w:sz w:val="20"/>
                <w:szCs w:val="20"/>
                <w:lang w:val="nl-NL"/>
              </w:rPr>
            </w:pPr>
            <w:r>
              <w:rPr>
                <w:sz w:val="20"/>
                <w:szCs w:val="20"/>
                <w:lang w:val="nl-NL"/>
              </w:rPr>
              <w:t>jours</w:t>
            </w:r>
          </w:p>
        </w:tc>
        <w:tc>
          <w:tcPr>
            <w:tcW w:w="1417" w:type="dxa"/>
            <w:tcBorders>
              <w:bottom w:val="single" w:sz="4" w:space="0" w:color="auto"/>
            </w:tcBorders>
            <w:shd w:val="clear" w:color="auto" w:fill="auto"/>
            <w:noWrap/>
            <w:vAlign w:val="center"/>
          </w:tcPr>
          <w:p w14:paraId="1E0C5CA5" w14:textId="77777777" w:rsidR="00BF3335" w:rsidRPr="00BF3335" w:rsidRDefault="00BF3335" w:rsidP="00BF3335">
            <w:pPr>
              <w:pStyle w:val="Vade-Mecum0"/>
              <w:rPr>
                <w:sz w:val="20"/>
                <w:szCs w:val="20"/>
                <w:lang w:val="nl-NL"/>
              </w:rPr>
            </w:pPr>
          </w:p>
        </w:tc>
        <w:tc>
          <w:tcPr>
            <w:tcW w:w="993" w:type="dxa"/>
            <w:tcBorders>
              <w:bottom w:val="single" w:sz="4" w:space="0" w:color="auto"/>
            </w:tcBorders>
            <w:shd w:val="clear" w:color="auto" w:fill="auto"/>
            <w:noWrap/>
            <w:vAlign w:val="center"/>
          </w:tcPr>
          <w:p w14:paraId="5B4AE6A3" w14:textId="77777777" w:rsidR="00BF3335" w:rsidRPr="00BF3335" w:rsidRDefault="00BF3335" w:rsidP="00BF3335">
            <w:pPr>
              <w:pStyle w:val="Vade-Mecum0"/>
              <w:rPr>
                <w:sz w:val="20"/>
                <w:szCs w:val="20"/>
                <w:lang w:val="nl-NL"/>
              </w:rPr>
            </w:pPr>
          </w:p>
        </w:tc>
        <w:tc>
          <w:tcPr>
            <w:tcW w:w="821" w:type="dxa"/>
            <w:tcBorders>
              <w:bottom w:val="single" w:sz="4" w:space="0" w:color="auto"/>
            </w:tcBorders>
            <w:shd w:val="clear" w:color="auto" w:fill="auto"/>
            <w:noWrap/>
            <w:vAlign w:val="center"/>
          </w:tcPr>
          <w:p w14:paraId="637EF1B6" w14:textId="77777777" w:rsidR="00BF3335" w:rsidRPr="00BF3335" w:rsidRDefault="00BF3335" w:rsidP="00BF3335">
            <w:pPr>
              <w:pStyle w:val="Vade-Mecum0"/>
              <w:rPr>
                <w:sz w:val="20"/>
                <w:szCs w:val="20"/>
                <w:lang w:val="nl-NL"/>
              </w:rPr>
            </w:pPr>
          </w:p>
        </w:tc>
        <w:tc>
          <w:tcPr>
            <w:tcW w:w="1134" w:type="dxa"/>
            <w:tcBorders>
              <w:bottom w:val="single" w:sz="4" w:space="0" w:color="auto"/>
            </w:tcBorders>
            <w:shd w:val="clear" w:color="auto" w:fill="C0C0C0"/>
            <w:vAlign w:val="center"/>
          </w:tcPr>
          <w:p w14:paraId="180BCA42" w14:textId="77777777" w:rsidR="00BF3335" w:rsidRPr="00BF3335" w:rsidRDefault="00BF3335" w:rsidP="00BF3335">
            <w:pPr>
              <w:pStyle w:val="Vade-Mecum0"/>
              <w:rPr>
                <w:sz w:val="20"/>
                <w:szCs w:val="20"/>
                <w:lang w:val="nl-NL"/>
              </w:rPr>
            </w:pPr>
          </w:p>
        </w:tc>
        <w:tc>
          <w:tcPr>
            <w:tcW w:w="1305" w:type="dxa"/>
            <w:shd w:val="clear" w:color="auto" w:fill="C0C0C0"/>
            <w:noWrap/>
            <w:vAlign w:val="center"/>
          </w:tcPr>
          <w:p w14:paraId="175AF21D" w14:textId="77777777" w:rsidR="00BF3335" w:rsidRPr="00BF3335" w:rsidRDefault="00BF3335" w:rsidP="00BF3335">
            <w:pPr>
              <w:pStyle w:val="Vade-Mecum0"/>
              <w:rPr>
                <w:sz w:val="20"/>
                <w:szCs w:val="20"/>
                <w:lang w:val="nl-NL"/>
              </w:rPr>
            </w:pPr>
          </w:p>
        </w:tc>
      </w:tr>
      <w:tr w:rsidR="00BF3335" w:rsidRPr="00BF3335" w14:paraId="7BEE6EEE" w14:textId="77777777" w:rsidTr="000C341A">
        <w:trPr>
          <w:trHeight w:val="255"/>
        </w:trPr>
        <w:tc>
          <w:tcPr>
            <w:tcW w:w="2452" w:type="dxa"/>
            <w:shd w:val="clear" w:color="auto" w:fill="auto"/>
          </w:tcPr>
          <w:p w14:paraId="010483AC" w14:textId="3077C90D" w:rsidR="00BF3335" w:rsidRPr="00BF3335" w:rsidRDefault="00C2567C" w:rsidP="00DA6338">
            <w:pPr>
              <w:pStyle w:val="Vade-Mecum0"/>
              <w:spacing w:line="240" w:lineRule="auto"/>
              <w:rPr>
                <w:sz w:val="20"/>
                <w:szCs w:val="20"/>
                <w:lang w:val="nl-NL"/>
              </w:rPr>
            </w:pPr>
            <w:r>
              <w:rPr>
                <w:sz w:val="20"/>
                <w:szCs w:val="20"/>
                <w:lang w:val="nl-NL"/>
              </w:rPr>
              <w:t>Envois de terrain logement</w:t>
            </w:r>
          </w:p>
        </w:tc>
        <w:tc>
          <w:tcPr>
            <w:tcW w:w="1134" w:type="dxa"/>
            <w:shd w:val="clear" w:color="auto" w:fill="auto"/>
            <w:noWrap/>
            <w:vAlign w:val="center"/>
          </w:tcPr>
          <w:p w14:paraId="253C06FF" w14:textId="5744481A" w:rsidR="00BF3335" w:rsidRPr="00BF3335" w:rsidRDefault="00BF3335" w:rsidP="00BF3335">
            <w:pPr>
              <w:pStyle w:val="Vade-Mecum0"/>
              <w:rPr>
                <w:sz w:val="20"/>
                <w:szCs w:val="20"/>
                <w:lang w:val="nl-NL"/>
              </w:rPr>
            </w:pPr>
            <w:r w:rsidRPr="00BF3335">
              <w:rPr>
                <w:sz w:val="20"/>
                <w:szCs w:val="20"/>
                <w:lang w:val="nl-NL"/>
              </w:rPr>
              <w:t>n</w:t>
            </w:r>
            <w:r w:rsidR="003940E3">
              <w:rPr>
                <w:sz w:val="20"/>
                <w:szCs w:val="20"/>
                <w:lang w:val="nl-NL"/>
              </w:rPr>
              <w:t>uits</w:t>
            </w:r>
          </w:p>
        </w:tc>
        <w:tc>
          <w:tcPr>
            <w:tcW w:w="1417" w:type="dxa"/>
            <w:tcBorders>
              <w:bottom w:val="single" w:sz="4" w:space="0" w:color="auto"/>
            </w:tcBorders>
            <w:shd w:val="clear" w:color="auto" w:fill="auto"/>
            <w:noWrap/>
            <w:vAlign w:val="center"/>
          </w:tcPr>
          <w:p w14:paraId="0AE5303E" w14:textId="77777777" w:rsidR="00BF3335" w:rsidRPr="00BF3335" w:rsidRDefault="00BF3335" w:rsidP="00BF3335">
            <w:pPr>
              <w:pStyle w:val="Vade-Mecum0"/>
              <w:rPr>
                <w:sz w:val="20"/>
                <w:szCs w:val="20"/>
                <w:lang w:val="nl-NL"/>
              </w:rPr>
            </w:pPr>
          </w:p>
        </w:tc>
        <w:tc>
          <w:tcPr>
            <w:tcW w:w="993" w:type="dxa"/>
            <w:tcBorders>
              <w:bottom w:val="single" w:sz="4" w:space="0" w:color="auto"/>
            </w:tcBorders>
            <w:shd w:val="clear" w:color="auto" w:fill="auto"/>
            <w:noWrap/>
            <w:vAlign w:val="center"/>
          </w:tcPr>
          <w:p w14:paraId="15788412" w14:textId="77777777" w:rsidR="00BF3335" w:rsidRPr="00BF3335" w:rsidRDefault="00BF3335" w:rsidP="00BF3335">
            <w:pPr>
              <w:pStyle w:val="Vade-Mecum0"/>
              <w:rPr>
                <w:sz w:val="20"/>
                <w:szCs w:val="20"/>
                <w:lang w:val="nl-NL"/>
              </w:rPr>
            </w:pPr>
          </w:p>
        </w:tc>
        <w:tc>
          <w:tcPr>
            <w:tcW w:w="821" w:type="dxa"/>
            <w:tcBorders>
              <w:bottom w:val="single" w:sz="4" w:space="0" w:color="auto"/>
            </w:tcBorders>
            <w:shd w:val="clear" w:color="auto" w:fill="auto"/>
            <w:noWrap/>
            <w:vAlign w:val="center"/>
          </w:tcPr>
          <w:p w14:paraId="4B6F5196" w14:textId="77777777" w:rsidR="00BF3335" w:rsidRPr="00BF3335" w:rsidRDefault="00BF3335" w:rsidP="00BF3335">
            <w:pPr>
              <w:pStyle w:val="Vade-Mecum0"/>
              <w:rPr>
                <w:sz w:val="20"/>
                <w:szCs w:val="20"/>
                <w:lang w:val="nl-NL"/>
              </w:rPr>
            </w:pPr>
          </w:p>
        </w:tc>
        <w:tc>
          <w:tcPr>
            <w:tcW w:w="1134" w:type="dxa"/>
            <w:tcBorders>
              <w:bottom w:val="single" w:sz="4" w:space="0" w:color="auto"/>
            </w:tcBorders>
            <w:shd w:val="clear" w:color="auto" w:fill="C0C0C0"/>
            <w:vAlign w:val="center"/>
          </w:tcPr>
          <w:p w14:paraId="0899BBAE" w14:textId="77777777" w:rsidR="00BF3335" w:rsidRPr="00BF3335" w:rsidRDefault="00BF3335" w:rsidP="00BF3335">
            <w:pPr>
              <w:pStyle w:val="Vade-Mecum0"/>
              <w:rPr>
                <w:sz w:val="20"/>
                <w:szCs w:val="20"/>
                <w:lang w:val="nl-NL"/>
              </w:rPr>
            </w:pPr>
          </w:p>
        </w:tc>
        <w:tc>
          <w:tcPr>
            <w:tcW w:w="1305" w:type="dxa"/>
            <w:shd w:val="clear" w:color="auto" w:fill="C0C0C0"/>
            <w:noWrap/>
            <w:vAlign w:val="center"/>
          </w:tcPr>
          <w:p w14:paraId="0CC1A548" w14:textId="77777777" w:rsidR="00BF3335" w:rsidRPr="00BF3335" w:rsidRDefault="00BF3335" w:rsidP="00BF3335">
            <w:pPr>
              <w:pStyle w:val="Vade-Mecum0"/>
              <w:rPr>
                <w:sz w:val="20"/>
                <w:szCs w:val="20"/>
                <w:lang w:val="nl-NL"/>
              </w:rPr>
            </w:pPr>
          </w:p>
        </w:tc>
      </w:tr>
      <w:tr w:rsidR="00BF3335" w:rsidRPr="00BF3335" w14:paraId="78461FCE" w14:textId="77777777" w:rsidTr="000C341A">
        <w:trPr>
          <w:trHeight w:val="255"/>
        </w:trPr>
        <w:tc>
          <w:tcPr>
            <w:tcW w:w="2452" w:type="dxa"/>
            <w:shd w:val="clear" w:color="auto" w:fill="auto"/>
          </w:tcPr>
          <w:p w14:paraId="05228E03" w14:textId="50B6C59C" w:rsidR="00BF3335" w:rsidRPr="005D6F56" w:rsidRDefault="005D6F56" w:rsidP="00DA6338">
            <w:pPr>
              <w:pStyle w:val="Vade-Mecum0"/>
              <w:spacing w:line="240" w:lineRule="auto"/>
              <w:rPr>
                <w:sz w:val="20"/>
                <w:szCs w:val="20"/>
              </w:rPr>
            </w:pPr>
            <w:r w:rsidRPr="005D6F56">
              <w:rPr>
                <w:sz w:val="20"/>
                <w:szCs w:val="20"/>
              </w:rPr>
              <w:t>Transports publics locaux (avion, train)</w:t>
            </w:r>
          </w:p>
        </w:tc>
        <w:tc>
          <w:tcPr>
            <w:tcW w:w="1134" w:type="dxa"/>
            <w:shd w:val="clear" w:color="auto" w:fill="auto"/>
            <w:noWrap/>
            <w:vAlign w:val="center"/>
          </w:tcPr>
          <w:p w14:paraId="19AEABC9" w14:textId="77777777" w:rsidR="00BF3335" w:rsidRPr="00BF3335" w:rsidRDefault="00BF3335" w:rsidP="00BF3335">
            <w:pPr>
              <w:pStyle w:val="Vade-Mecum0"/>
              <w:rPr>
                <w:sz w:val="20"/>
                <w:szCs w:val="20"/>
                <w:lang w:val="nl-NL"/>
              </w:rPr>
            </w:pPr>
            <w:r w:rsidRPr="00BF3335">
              <w:rPr>
                <w:sz w:val="20"/>
                <w:szCs w:val="20"/>
                <w:lang w:val="nl-NL"/>
              </w:rPr>
              <w:t>H/T</w:t>
            </w:r>
          </w:p>
        </w:tc>
        <w:tc>
          <w:tcPr>
            <w:tcW w:w="1417" w:type="dxa"/>
            <w:tcBorders>
              <w:bottom w:val="single" w:sz="4" w:space="0" w:color="auto"/>
            </w:tcBorders>
            <w:shd w:val="clear" w:color="auto" w:fill="auto"/>
            <w:noWrap/>
            <w:vAlign w:val="center"/>
          </w:tcPr>
          <w:p w14:paraId="5D00F551" w14:textId="77777777" w:rsidR="00BF3335" w:rsidRPr="00BF3335" w:rsidRDefault="00BF3335" w:rsidP="00BF3335">
            <w:pPr>
              <w:pStyle w:val="Vade-Mecum0"/>
              <w:rPr>
                <w:sz w:val="20"/>
                <w:szCs w:val="20"/>
                <w:lang w:val="nl-NL"/>
              </w:rPr>
            </w:pPr>
          </w:p>
        </w:tc>
        <w:tc>
          <w:tcPr>
            <w:tcW w:w="993" w:type="dxa"/>
            <w:tcBorders>
              <w:bottom w:val="single" w:sz="4" w:space="0" w:color="auto"/>
            </w:tcBorders>
            <w:shd w:val="clear" w:color="auto" w:fill="auto"/>
            <w:noWrap/>
            <w:vAlign w:val="center"/>
          </w:tcPr>
          <w:p w14:paraId="08D00037" w14:textId="77777777" w:rsidR="00BF3335" w:rsidRPr="00BF3335" w:rsidRDefault="00BF3335" w:rsidP="00BF3335">
            <w:pPr>
              <w:pStyle w:val="Vade-Mecum0"/>
              <w:rPr>
                <w:sz w:val="20"/>
                <w:szCs w:val="20"/>
                <w:lang w:val="nl-NL"/>
              </w:rPr>
            </w:pPr>
          </w:p>
        </w:tc>
        <w:tc>
          <w:tcPr>
            <w:tcW w:w="821" w:type="dxa"/>
            <w:tcBorders>
              <w:bottom w:val="single" w:sz="4" w:space="0" w:color="auto"/>
            </w:tcBorders>
            <w:shd w:val="clear" w:color="auto" w:fill="auto"/>
            <w:noWrap/>
            <w:vAlign w:val="center"/>
          </w:tcPr>
          <w:p w14:paraId="2EA50504" w14:textId="77777777" w:rsidR="00BF3335" w:rsidRPr="00BF3335" w:rsidRDefault="00BF3335" w:rsidP="00BF3335">
            <w:pPr>
              <w:pStyle w:val="Vade-Mecum0"/>
              <w:rPr>
                <w:sz w:val="20"/>
                <w:szCs w:val="20"/>
                <w:lang w:val="nl-NL"/>
              </w:rPr>
            </w:pPr>
          </w:p>
        </w:tc>
        <w:tc>
          <w:tcPr>
            <w:tcW w:w="1134" w:type="dxa"/>
            <w:tcBorders>
              <w:bottom w:val="single" w:sz="4" w:space="0" w:color="auto"/>
            </w:tcBorders>
            <w:shd w:val="clear" w:color="auto" w:fill="C0C0C0"/>
            <w:vAlign w:val="center"/>
          </w:tcPr>
          <w:p w14:paraId="0BBE256D" w14:textId="77777777" w:rsidR="00BF3335" w:rsidRPr="00BF3335" w:rsidRDefault="00BF3335" w:rsidP="00BF3335">
            <w:pPr>
              <w:pStyle w:val="Vade-Mecum0"/>
              <w:rPr>
                <w:sz w:val="20"/>
                <w:szCs w:val="20"/>
                <w:lang w:val="nl-NL"/>
              </w:rPr>
            </w:pPr>
          </w:p>
        </w:tc>
        <w:tc>
          <w:tcPr>
            <w:tcW w:w="1305" w:type="dxa"/>
            <w:shd w:val="clear" w:color="auto" w:fill="C0C0C0"/>
            <w:noWrap/>
            <w:vAlign w:val="center"/>
          </w:tcPr>
          <w:p w14:paraId="18AE7834" w14:textId="77777777" w:rsidR="00BF3335" w:rsidRPr="00BF3335" w:rsidRDefault="00BF3335" w:rsidP="00BF3335">
            <w:pPr>
              <w:pStyle w:val="Vade-Mecum0"/>
              <w:rPr>
                <w:sz w:val="20"/>
                <w:szCs w:val="20"/>
                <w:lang w:val="nl-NL"/>
              </w:rPr>
            </w:pPr>
          </w:p>
        </w:tc>
      </w:tr>
      <w:tr w:rsidR="00BF3335" w:rsidRPr="00BF3335" w14:paraId="5B654037" w14:textId="77777777" w:rsidTr="000C341A">
        <w:trPr>
          <w:trHeight w:val="255"/>
        </w:trPr>
        <w:tc>
          <w:tcPr>
            <w:tcW w:w="2452" w:type="dxa"/>
            <w:shd w:val="clear" w:color="auto" w:fill="auto"/>
          </w:tcPr>
          <w:p w14:paraId="353F1587" w14:textId="30907E9A" w:rsidR="00BF3335" w:rsidRPr="00061B70" w:rsidRDefault="00061B70" w:rsidP="00DA6338">
            <w:pPr>
              <w:pStyle w:val="Vade-Mecum0"/>
              <w:spacing w:line="240" w:lineRule="auto"/>
              <w:rPr>
                <w:sz w:val="20"/>
                <w:szCs w:val="20"/>
              </w:rPr>
            </w:pPr>
            <w:r w:rsidRPr="00061B70">
              <w:rPr>
                <w:sz w:val="20"/>
                <w:szCs w:val="20"/>
              </w:rPr>
              <w:t>Frais de location de véhicule/chauffeur/carburant/assurance</w:t>
            </w:r>
          </w:p>
        </w:tc>
        <w:tc>
          <w:tcPr>
            <w:tcW w:w="1134" w:type="dxa"/>
            <w:shd w:val="clear" w:color="auto" w:fill="auto"/>
            <w:noWrap/>
            <w:vAlign w:val="center"/>
          </w:tcPr>
          <w:p w14:paraId="5029A0E7" w14:textId="3ED68D46" w:rsidR="00BF3335" w:rsidRPr="00BF3335" w:rsidRDefault="003940E3" w:rsidP="00BF3335">
            <w:pPr>
              <w:pStyle w:val="Vade-Mecum0"/>
              <w:rPr>
                <w:sz w:val="20"/>
                <w:szCs w:val="20"/>
                <w:lang w:val="nl-NL"/>
              </w:rPr>
            </w:pPr>
            <w:r>
              <w:rPr>
                <w:sz w:val="20"/>
                <w:szCs w:val="20"/>
                <w:lang w:val="nl-NL"/>
              </w:rPr>
              <w:t>jours</w:t>
            </w:r>
          </w:p>
        </w:tc>
        <w:tc>
          <w:tcPr>
            <w:tcW w:w="1417" w:type="dxa"/>
            <w:tcBorders>
              <w:bottom w:val="single" w:sz="4" w:space="0" w:color="auto"/>
            </w:tcBorders>
            <w:shd w:val="clear" w:color="auto" w:fill="auto"/>
            <w:noWrap/>
            <w:vAlign w:val="center"/>
          </w:tcPr>
          <w:p w14:paraId="680E94FC" w14:textId="77777777" w:rsidR="00BF3335" w:rsidRPr="00BF3335" w:rsidRDefault="00BF3335" w:rsidP="00BF3335">
            <w:pPr>
              <w:pStyle w:val="Vade-Mecum0"/>
              <w:rPr>
                <w:sz w:val="20"/>
                <w:szCs w:val="20"/>
                <w:lang w:val="nl-NL"/>
              </w:rPr>
            </w:pPr>
          </w:p>
        </w:tc>
        <w:tc>
          <w:tcPr>
            <w:tcW w:w="993" w:type="dxa"/>
            <w:tcBorders>
              <w:bottom w:val="single" w:sz="4" w:space="0" w:color="auto"/>
            </w:tcBorders>
            <w:shd w:val="clear" w:color="auto" w:fill="auto"/>
            <w:noWrap/>
            <w:vAlign w:val="center"/>
          </w:tcPr>
          <w:p w14:paraId="127663F0" w14:textId="77777777" w:rsidR="00BF3335" w:rsidRPr="00BF3335" w:rsidRDefault="00BF3335" w:rsidP="00BF3335">
            <w:pPr>
              <w:pStyle w:val="Vade-Mecum0"/>
              <w:rPr>
                <w:sz w:val="20"/>
                <w:szCs w:val="20"/>
                <w:lang w:val="nl-NL"/>
              </w:rPr>
            </w:pPr>
          </w:p>
        </w:tc>
        <w:tc>
          <w:tcPr>
            <w:tcW w:w="821" w:type="dxa"/>
            <w:tcBorders>
              <w:bottom w:val="single" w:sz="4" w:space="0" w:color="auto"/>
            </w:tcBorders>
            <w:shd w:val="clear" w:color="auto" w:fill="auto"/>
            <w:noWrap/>
            <w:vAlign w:val="center"/>
          </w:tcPr>
          <w:p w14:paraId="62E4A03D" w14:textId="77777777" w:rsidR="00BF3335" w:rsidRPr="00BF3335" w:rsidRDefault="00BF3335" w:rsidP="00BF3335">
            <w:pPr>
              <w:pStyle w:val="Vade-Mecum0"/>
              <w:rPr>
                <w:sz w:val="20"/>
                <w:szCs w:val="20"/>
                <w:lang w:val="nl-NL"/>
              </w:rPr>
            </w:pPr>
          </w:p>
        </w:tc>
        <w:tc>
          <w:tcPr>
            <w:tcW w:w="1134" w:type="dxa"/>
            <w:tcBorders>
              <w:bottom w:val="single" w:sz="4" w:space="0" w:color="auto"/>
            </w:tcBorders>
            <w:shd w:val="clear" w:color="auto" w:fill="C0C0C0"/>
            <w:vAlign w:val="center"/>
          </w:tcPr>
          <w:p w14:paraId="77E42AE2" w14:textId="77777777" w:rsidR="00BF3335" w:rsidRPr="00BF3335" w:rsidRDefault="00BF3335" w:rsidP="00BF3335">
            <w:pPr>
              <w:pStyle w:val="Vade-Mecum0"/>
              <w:rPr>
                <w:sz w:val="20"/>
                <w:szCs w:val="20"/>
                <w:lang w:val="nl-NL"/>
              </w:rPr>
            </w:pPr>
          </w:p>
        </w:tc>
        <w:tc>
          <w:tcPr>
            <w:tcW w:w="1305" w:type="dxa"/>
            <w:shd w:val="clear" w:color="auto" w:fill="C0C0C0"/>
            <w:noWrap/>
            <w:vAlign w:val="center"/>
          </w:tcPr>
          <w:p w14:paraId="074E216E" w14:textId="77777777" w:rsidR="00BF3335" w:rsidRPr="00BF3335" w:rsidRDefault="00BF3335" w:rsidP="00BF3335">
            <w:pPr>
              <w:pStyle w:val="Vade-Mecum0"/>
              <w:rPr>
                <w:sz w:val="20"/>
                <w:szCs w:val="20"/>
                <w:lang w:val="nl-NL"/>
              </w:rPr>
            </w:pPr>
          </w:p>
        </w:tc>
      </w:tr>
      <w:tr w:rsidR="00BF3335" w:rsidRPr="00BF3335" w14:paraId="6C3381B0" w14:textId="77777777" w:rsidTr="000C341A">
        <w:trPr>
          <w:trHeight w:val="255"/>
        </w:trPr>
        <w:tc>
          <w:tcPr>
            <w:tcW w:w="2452" w:type="dxa"/>
            <w:shd w:val="clear" w:color="auto" w:fill="auto"/>
          </w:tcPr>
          <w:p w14:paraId="565D7437" w14:textId="4760FAA3" w:rsidR="00BF3335" w:rsidRPr="001A54F8" w:rsidRDefault="001A54F8" w:rsidP="00DA6338">
            <w:pPr>
              <w:pStyle w:val="Vade-Mecum0"/>
              <w:spacing w:line="240" w:lineRule="auto"/>
              <w:rPr>
                <w:sz w:val="20"/>
                <w:szCs w:val="20"/>
              </w:rPr>
            </w:pPr>
            <w:r w:rsidRPr="001A54F8">
              <w:rPr>
                <w:sz w:val="20"/>
                <w:szCs w:val="20"/>
              </w:rPr>
              <w:t>Frais de réunions/interviews/missions sur le terrain</w:t>
            </w:r>
          </w:p>
        </w:tc>
        <w:tc>
          <w:tcPr>
            <w:tcW w:w="1134" w:type="dxa"/>
            <w:shd w:val="clear" w:color="auto" w:fill="auto"/>
            <w:noWrap/>
            <w:vAlign w:val="center"/>
          </w:tcPr>
          <w:p w14:paraId="5A4053F2" w14:textId="366BFF12" w:rsidR="00BF3335" w:rsidRPr="00BF3335" w:rsidRDefault="00BF3335" w:rsidP="00BF3335">
            <w:pPr>
              <w:pStyle w:val="Vade-Mecum0"/>
              <w:rPr>
                <w:sz w:val="20"/>
                <w:szCs w:val="20"/>
                <w:lang w:val="nl-NL"/>
              </w:rPr>
            </w:pPr>
            <w:r w:rsidRPr="00BF3335">
              <w:rPr>
                <w:sz w:val="20"/>
                <w:szCs w:val="20"/>
                <w:lang w:val="nl-NL"/>
              </w:rPr>
              <w:t xml:space="preserve">forfait </w:t>
            </w:r>
          </w:p>
        </w:tc>
        <w:tc>
          <w:tcPr>
            <w:tcW w:w="1417" w:type="dxa"/>
            <w:shd w:val="clear" w:color="auto" w:fill="auto"/>
            <w:noWrap/>
            <w:vAlign w:val="center"/>
          </w:tcPr>
          <w:p w14:paraId="70E14F51" w14:textId="77777777" w:rsidR="00BF3335" w:rsidRPr="00BF3335" w:rsidRDefault="00BF3335" w:rsidP="00BF3335">
            <w:pPr>
              <w:pStyle w:val="Vade-Mecum0"/>
              <w:rPr>
                <w:sz w:val="20"/>
                <w:szCs w:val="20"/>
                <w:lang w:val="nl-NL"/>
              </w:rPr>
            </w:pPr>
          </w:p>
        </w:tc>
        <w:tc>
          <w:tcPr>
            <w:tcW w:w="993" w:type="dxa"/>
            <w:shd w:val="clear" w:color="auto" w:fill="auto"/>
            <w:noWrap/>
            <w:vAlign w:val="center"/>
          </w:tcPr>
          <w:p w14:paraId="0EACBF8E" w14:textId="77777777" w:rsidR="00BF3335" w:rsidRPr="00BF3335" w:rsidRDefault="00BF3335" w:rsidP="00BF3335">
            <w:pPr>
              <w:pStyle w:val="Vade-Mecum0"/>
              <w:rPr>
                <w:sz w:val="20"/>
                <w:szCs w:val="20"/>
                <w:lang w:val="nl-NL"/>
              </w:rPr>
            </w:pPr>
          </w:p>
        </w:tc>
        <w:tc>
          <w:tcPr>
            <w:tcW w:w="821" w:type="dxa"/>
            <w:shd w:val="clear" w:color="auto" w:fill="auto"/>
            <w:noWrap/>
            <w:vAlign w:val="center"/>
          </w:tcPr>
          <w:p w14:paraId="143D5812" w14:textId="77777777" w:rsidR="00BF3335" w:rsidRPr="00BF3335" w:rsidRDefault="00BF3335" w:rsidP="00BF3335">
            <w:pPr>
              <w:pStyle w:val="Vade-Mecum0"/>
              <w:rPr>
                <w:sz w:val="20"/>
                <w:szCs w:val="20"/>
                <w:lang w:val="nl-NL"/>
              </w:rPr>
            </w:pPr>
          </w:p>
        </w:tc>
        <w:tc>
          <w:tcPr>
            <w:tcW w:w="1134" w:type="dxa"/>
            <w:shd w:val="clear" w:color="auto" w:fill="C0C0C0"/>
            <w:vAlign w:val="center"/>
          </w:tcPr>
          <w:p w14:paraId="106867D5" w14:textId="77777777" w:rsidR="00BF3335" w:rsidRPr="00BF3335" w:rsidRDefault="00BF3335" w:rsidP="00BF3335">
            <w:pPr>
              <w:pStyle w:val="Vade-Mecum0"/>
              <w:rPr>
                <w:sz w:val="20"/>
                <w:szCs w:val="20"/>
                <w:lang w:val="nl-NL"/>
              </w:rPr>
            </w:pPr>
          </w:p>
        </w:tc>
        <w:tc>
          <w:tcPr>
            <w:tcW w:w="1305" w:type="dxa"/>
            <w:shd w:val="clear" w:color="auto" w:fill="C0C0C0"/>
            <w:noWrap/>
            <w:vAlign w:val="center"/>
          </w:tcPr>
          <w:p w14:paraId="10642030" w14:textId="77777777" w:rsidR="00BF3335" w:rsidRPr="00BF3335" w:rsidRDefault="00BF3335" w:rsidP="00BF3335">
            <w:pPr>
              <w:pStyle w:val="Vade-Mecum0"/>
              <w:rPr>
                <w:sz w:val="20"/>
                <w:szCs w:val="20"/>
                <w:lang w:val="nl-NL"/>
              </w:rPr>
            </w:pPr>
          </w:p>
        </w:tc>
      </w:tr>
      <w:tr w:rsidR="00BF3335" w:rsidRPr="00BF3335" w14:paraId="616DD261" w14:textId="77777777" w:rsidTr="000C341A">
        <w:trPr>
          <w:trHeight w:val="255"/>
        </w:trPr>
        <w:tc>
          <w:tcPr>
            <w:tcW w:w="2452" w:type="dxa"/>
            <w:shd w:val="clear" w:color="auto" w:fill="auto"/>
          </w:tcPr>
          <w:p w14:paraId="0F033C3E" w14:textId="13775C41" w:rsidR="00BF3335" w:rsidRPr="001A54F8" w:rsidRDefault="001A54F8" w:rsidP="00DA6338">
            <w:pPr>
              <w:pStyle w:val="Vade-Mecum0"/>
              <w:spacing w:line="240" w:lineRule="auto"/>
              <w:rPr>
                <w:sz w:val="20"/>
                <w:szCs w:val="20"/>
              </w:rPr>
            </w:pPr>
            <w:r w:rsidRPr="001A54F8">
              <w:rPr>
                <w:sz w:val="20"/>
                <w:szCs w:val="20"/>
              </w:rPr>
              <w:t>Frais de réunions de restitution (location de salle/traiteur)</w:t>
            </w:r>
          </w:p>
        </w:tc>
        <w:tc>
          <w:tcPr>
            <w:tcW w:w="1134" w:type="dxa"/>
            <w:shd w:val="clear" w:color="auto" w:fill="auto"/>
            <w:noWrap/>
            <w:vAlign w:val="center"/>
          </w:tcPr>
          <w:p w14:paraId="0A2AE161" w14:textId="06992A50" w:rsidR="00BF3335" w:rsidRPr="00BF3335" w:rsidRDefault="00BF3335" w:rsidP="00BF3335">
            <w:pPr>
              <w:pStyle w:val="Vade-Mecum0"/>
              <w:rPr>
                <w:sz w:val="20"/>
                <w:szCs w:val="20"/>
                <w:lang w:val="nl-NL"/>
              </w:rPr>
            </w:pPr>
            <w:r w:rsidRPr="00BF3335">
              <w:rPr>
                <w:sz w:val="20"/>
                <w:szCs w:val="20"/>
                <w:lang w:val="nl-NL"/>
              </w:rPr>
              <w:t xml:space="preserve">forfait </w:t>
            </w:r>
          </w:p>
        </w:tc>
        <w:tc>
          <w:tcPr>
            <w:tcW w:w="1417" w:type="dxa"/>
            <w:shd w:val="clear" w:color="auto" w:fill="auto"/>
            <w:noWrap/>
            <w:vAlign w:val="center"/>
          </w:tcPr>
          <w:p w14:paraId="2A150B53" w14:textId="77777777" w:rsidR="00BF3335" w:rsidRPr="00BF3335" w:rsidRDefault="00BF3335" w:rsidP="00BF3335">
            <w:pPr>
              <w:pStyle w:val="Vade-Mecum0"/>
              <w:rPr>
                <w:sz w:val="20"/>
                <w:szCs w:val="20"/>
                <w:lang w:val="nl-NL"/>
              </w:rPr>
            </w:pPr>
          </w:p>
        </w:tc>
        <w:tc>
          <w:tcPr>
            <w:tcW w:w="993" w:type="dxa"/>
            <w:shd w:val="clear" w:color="auto" w:fill="auto"/>
            <w:noWrap/>
            <w:vAlign w:val="center"/>
          </w:tcPr>
          <w:p w14:paraId="046034C4" w14:textId="77777777" w:rsidR="00BF3335" w:rsidRPr="00BF3335" w:rsidRDefault="00BF3335" w:rsidP="00BF3335">
            <w:pPr>
              <w:pStyle w:val="Vade-Mecum0"/>
              <w:rPr>
                <w:sz w:val="20"/>
                <w:szCs w:val="20"/>
                <w:lang w:val="nl-NL"/>
              </w:rPr>
            </w:pPr>
          </w:p>
        </w:tc>
        <w:tc>
          <w:tcPr>
            <w:tcW w:w="821" w:type="dxa"/>
            <w:shd w:val="clear" w:color="auto" w:fill="auto"/>
            <w:noWrap/>
            <w:vAlign w:val="center"/>
          </w:tcPr>
          <w:p w14:paraId="79D4ECDC" w14:textId="77777777" w:rsidR="00BF3335" w:rsidRPr="00BF3335" w:rsidRDefault="00BF3335" w:rsidP="00BF3335">
            <w:pPr>
              <w:pStyle w:val="Vade-Mecum0"/>
              <w:rPr>
                <w:sz w:val="20"/>
                <w:szCs w:val="20"/>
                <w:lang w:val="nl-NL"/>
              </w:rPr>
            </w:pPr>
          </w:p>
        </w:tc>
        <w:tc>
          <w:tcPr>
            <w:tcW w:w="1134" w:type="dxa"/>
            <w:shd w:val="clear" w:color="auto" w:fill="C0C0C0"/>
            <w:vAlign w:val="center"/>
          </w:tcPr>
          <w:p w14:paraId="788FB3D2" w14:textId="77777777" w:rsidR="00BF3335" w:rsidRPr="00BF3335" w:rsidRDefault="00BF3335" w:rsidP="00BF3335">
            <w:pPr>
              <w:pStyle w:val="Vade-Mecum0"/>
              <w:rPr>
                <w:sz w:val="20"/>
                <w:szCs w:val="20"/>
                <w:lang w:val="nl-NL"/>
              </w:rPr>
            </w:pPr>
          </w:p>
        </w:tc>
        <w:tc>
          <w:tcPr>
            <w:tcW w:w="1305" w:type="dxa"/>
            <w:shd w:val="clear" w:color="auto" w:fill="C0C0C0"/>
            <w:noWrap/>
            <w:vAlign w:val="center"/>
          </w:tcPr>
          <w:p w14:paraId="3BF281E4" w14:textId="77777777" w:rsidR="00BF3335" w:rsidRPr="00BF3335" w:rsidRDefault="00BF3335" w:rsidP="00BF3335">
            <w:pPr>
              <w:pStyle w:val="Vade-Mecum0"/>
              <w:rPr>
                <w:sz w:val="20"/>
                <w:szCs w:val="20"/>
                <w:lang w:val="nl-NL"/>
              </w:rPr>
            </w:pPr>
          </w:p>
        </w:tc>
      </w:tr>
      <w:tr w:rsidR="00BF3335" w:rsidRPr="00BF3335" w14:paraId="2D462A6A" w14:textId="77777777" w:rsidTr="000C341A">
        <w:trPr>
          <w:trHeight w:val="255"/>
        </w:trPr>
        <w:tc>
          <w:tcPr>
            <w:tcW w:w="2452" w:type="dxa"/>
            <w:shd w:val="clear" w:color="auto" w:fill="auto"/>
          </w:tcPr>
          <w:p w14:paraId="4D2CC92D" w14:textId="2AA7DA41" w:rsidR="00BF3335" w:rsidRPr="00BF3335" w:rsidRDefault="007E4C7D" w:rsidP="00DA6338">
            <w:pPr>
              <w:pStyle w:val="Vade-Mecum0"/>
              <w:spacing w:line="240" w:lineRule="auto"/>
              <w:rPr>
                <w:sz w:val="20"/>
                <w:szCs w:val="20"/>
                <w:lang w:val="nl-NL"/>
              </w:rPr>
            </w:pPr>
            <w:r>
              <w:rPr>
                <w:sz w:val="20"/>
                <w:szCs w:val="20"/>
                <w:lang w:val="nl-NL"/>
              </w:rPr>
              <w:t>Traductions</w:t>
            </w:r>
          </w:p>
        </w:tc>
        <w:tc>
          <w:tcPr>
            <w:tcW w:w="1134" w:type="dxa"/>
            <w:shd w:val="clear" w:color="auto" w:fill="auto"/>
            <w:noWrap/>
            <w:vAlign w:val="center"/>
          </w:tcPr>
          <w:p w14:paraId="4A2E9971" w14:textId="5C106904" w:rsidR="00BF3335" w:rsidRPr="00BF3335" w:rsidRDefault="00BF3335" w:rsidP="00BF3335">
            <w:pPr>
              <w:pStyle w:val="Vade-Mecum0"/>
              <w:rPr>
                <w:sz w:val="20"/>
                <w:szCs w:val="20"/>
                <w:lang w:val="nl-NL"/>
              </w:rPr>
            </w:pPr>
            <w:r w:rsidRPr="00BF3335">
              <w:rPr>
                <w:sz w:val="20"/>
                <w:szCs w:val="20"/>
                <w:lang w:val="nl-NL"/>
              </w:rPr>
              <w:t>pag</w:t>
            </w:r>
            <w:r w:rsidR="007E4C7D">
              <w:rPr>
                <w:sz w:val="20"/>
                <w:szCs w:val="20"/>
                <w:lang w:val="nl-NL"/>
              </w:rPr>
              <w:t>es</w:t>
            </w:r>
          </w:p>
        </w:tc>
        <w:tc>
          <w:tcPr>
            <w:tcW w:w="1417" w:type="dxa"/>
            <w:tcBorders>
              <w:bottom w:val="single" w:sz="4" w:space="0" w:color="auto"/>
            </w:tcBorders>
            <w:shd w:val="clear" w:color="auto" w:fill="auto"/>
            <w:noWrap/>
            <w:vAlign w:val="center"/>
          </w:tcPr>
          <w:p w14:paraId="78C15293" w14:textId="77777777" w:rsidR="00BF3335" w:rsidRPr="00BF3335" w:rsidRDefault="00BF3335" w:rsidP="00BF3335">
            <w:pPr>
              <w:pStyle w:val="Vade-Mecum0"/>
              <w:rPr>
                <w:sz w:val="20"/>
                <w:szCs w:val="20"/>
                <w:lang w:val="nl-NL"/>
              </w:rPr>
            </w:pPr>
          </w:p>
        </w:tc>
        <w:tc>
          <w:tcPr>
            <w:tcW w:w="993" w:type="dxa"/>
            <w:tcBorders>
              <w:bottom w:val="single" w:sz="4" w:space="0" w:color="auto"/>
            </w:tcBorders>
            <w:shd w:val="clear" w:color="auto" w:fill="auto"/>
            <w:noWrap/>
            <w:vAlign w:val="center"/>
          </w:tcPr>
          <w:p w14:paraId="2B89B908" w14:textId="77777777" w:rsidR="00BF3335" w:rsidRPr="00BF3335" w:rsidRDefault="00BF3335" w:rsidP="00BF3335">
            <w:pPr>
              <w:pStyle w:val="Vade-Mecum0"/>
              <w:rPr>
                <w:sz w:val="20"/>
                <w:szCs w:val="20"/>
                <w:lang w:val="nl-NL"/>
              </w:rPr>
            </w:pPr>
          </w:p>
        </w:tc>
        <w:tc>
          <w:tcPr>
            <w:tcW w:w="821" w:type="dxa"/>
            <w:shd w:val="clear" w:color="auto" w:fill="auto"/>
            <w:noWrap/>
            <w:vAlign w:val="center"/>
          </w:tcPr>
          <w:p w14:paraId="5D8C2379" w14:textId="77777777" w:rsidR="00BF3335" w:rsidRPr="00BF3335" w:rsidRDefault="00BF3335" w:rsidP="00BF3335">
            <w:pPr>
              <w:pStyle w:val="Vade-Mecum0"/>
              <w:rPr>
                <w:sz w:val="20"/>
                <w:szCs w:val="20"/>
                <w:lang w:val="nl-NL"/>
              </w:rPr>
            </w:pPr>
          </w:p>
        </w:tc>
        <w:tc>
          <w:tcPr>
            <w:tcW w:w="1134" w:type="dxa"/>
            <w:shd w:val="clear" w:color="auto" w:fill="C0C0C0"/>
            <w:vAlign w:val="center"/>
          </w:tcPr>
          <w:p w14:paraId="6439C24E" w14:textId="77777777" w:rsidR="00BF3335" w:rsidRPr="00BF3335" w:rsidRDefault="00BF3335" w:rsidP="00BF3335">
            <w:pPr>
              <w:pStyle w:val="Vade-Mecum0"/>
              <w:rPr>
                <w:sz w:val="20"/>
                <w:szCs w:val="20"/>
                <w:lang w:val="nl-NL"/>
              </w:rPr>
            </w:pPr>
          </w:p>
        </w:tc>
        <w:tc>
          <w:tcPr>
            <w:tcW w:w="1305" w:type="dxa"/>
            <w:shd w:val="clear" w:color="auto" w:fill="C0C0C0"/>
            <w:noWrap/>
            <w:vAlign w:val="center"/>
          </w:tcPr>
          <w:p w14:paraId="16E01303" w14:textId="77777777" w:rsidR="00BF3335" w:rsidRPr="00BF3335" w:rsidRDefault="00BF3335" w:rsidP="00BF3335">
            <w:pPr>
              <w:pStyle w:val="Vade-Mecum0"/>
              <w:rPr>
                <w:sz w:val="20"/>
                <w:szCs w:val="20"/>
                <w:lang w:val="nl-NL"/>
              </w:rPr>
            </w:pPr>
          </w:p>
        </w:tc>
      </w:tr>
      <w:tr w:rsidR="00BF3335" w:rsidRPr="00BF3335" w14:paraId="7D76CE0E" w14:textId="77777777" w:rsidTr="000C341A">
        <w:trPr>
          <w:trHeight w:val="255"/>
        </w:trPr>
        <w:tc>
          <w:tcPr>
            <w:tcW w:w="2452" w:type="dxa"/>
            <w:shd w:val="clear" w:color="auto" w:fill="auto"/>
          </w:tcPr>
          <w:p w14:paraId="77D5F38E" w14:textId="509754AA" w:rsidR="00BF3335" w:rsidRPr="00BF3335" w:rsidRDefault="00BF3335" w:rsidP="00DA6338">
            <w:pPr>
              <w:pStyle w:val="Vade-Mecum0"/>
              <w:spacing w:line="240" w:lineRule="auto"/>
              <w:rPr>
                <w:sz w:val="20"/>
                <w:szCs w:val="20"/>
                <w:lang w:val="nl-NL"/>
              </w:rPr>
            </w:pPr>
            <w:r w:rsidRPr="00BF3335">
              <w:rPr>
                <w:sz w:val="20"/>
                <w:szCs w:val="20"/>
                <w:lang w:val="nl-NL"/>
              </w:rPr>
              <w:t>Communicati</w:t>
            </w:r>
            <w:r w:rsidR="007E4C7D">
              <w:rPr>
                <w:sz w:val="20"/>
                <w:szCs w:val="20"/>
                <w:lang w:val="nl-NL"/>
              </w:rPr>
              <w:t>on/impression/duplication</w:t>
            </w:r>
          </w:p>
        </w:tc>
        <w:tc>
          <w:tcPr>
            <w:tcW w:w="1134" w:type="dxa"/>
            <w:shd w:val="clear" w:color="auto" w:fill="auto"/>
            <w:noWrap/>
            <w:vAlign w:val="center"/>
          </w:tcPr>
          <w:p w14:paraId="65ED80A0" w14:textId="77777777" w:rsidR="00BF3335" w:rsidRPr="00BF3335" w:rsidRDefault="00BF3335" w:rsidP="00BF3335">
            <w:pPr>
              <w:pStyle w:val="Vade-Mecum0"/>
              <w:rPr>
                <w:sz w:val="20"/>
                <w:szCs w:val="20"/>
                <w:lang w:val="nl-NL"/>
              </w:rPr>
            </w:pPr>
            <w:r w:rsidRPr="00BF3335">
              <w:rPr>
                <w:sz w:val="20"/>
                <w:szCs w:val="20"/>
                <w:lang w:val="nl-NL"/>
              </w:rPr>
              <w:t>forfait</w:t>
            </w:r>
          </w:p>
        </w:tc>
        <w:tc>
          <w:tcPr>
            <w:tcW w:w="1417" w:type="dxa"/>
            <w:shd w:val="clear" w:color="auto" w:fill="C0C0C0"/>
            <w:noWrap/>
            <w:vAlign w:val="center"/>
          </w:tcPr>
          <w:p w14:paraId="636C65A5" w14:textId="77777777" w:rsidR="00BF3335" w:rsidRPr="00BF3335" w:rsidRDefault="00BF3335" w:rsidP="00BF3335">
            <w:pPr>
              <w:pStyle w:val="Vade-Mecum0"/>
              <w:rPr>
                <w:sz w:val="20"/>
                <w:szCs w:val="20"/>
                <w:lang w:val="nl-NL"/>
              </w:rPr>
            </w:pPr>
          </w:p>
        </w:tc>
        <w:tc>
          <w:tcPr>
            <w:tcW w:w="993" w:type="dxa"/>
            <w:shd w:val="clear" w:color="auto" w:fill="C0C0C0"/>
            <w:noWrap/>
            <w:vAlign w:val="center"/>
          </w:tcPr>
          <w:p w14:paraId="50845DE1" w14:textId="77777777" w:rsidR="00BF3335" w:rsidRPr="00BF3335" w:rsidRDefault="00BF3335" w:rsidP="00BF3335">
            <w:pPr>
              <w:pStyle w:val="Vade-Mecum0"/>
              <w:rPr>
                <w:sz w:val="20"/>
                <w:szCs w:val="20"/>
                <w:lang w:val="nl-NL"/>
              </w:rPr>
            </w:pPr>
          </w:p>
        </w:tc>
        <w:tc>
          <w:tcPr>
            <w:tcW w:w="821" w:type="dxa"/>
            <w:shd w:val="clear" w:color="auto" w:fill="auto"/>
            <w:noWrap/>
            <w:vAlign w:val="center"/>
          </w:tcPr>
          <w:p w14:paraId="01127302" w14:textId="77777777" w:rsidR="00BF3335" w:rsidRPr="00BF3335" w:rsidRDefault="00BF3335" w:rsidP="00BF3335">
            <w:pPr>
              <w:pStyle w:val="Vade-Mecum0"/>
              <w:rPr>
                <w:sz w:val="20"/>
                <w:szCs w:val="20"/>
                <w:lang w:val="nl-NL"/>
              </w:rPr>
            </w:pPr>
          </w:p>
        </w:tc>
        <w:tc>
          <w:tcPr>
            <w:tcW w:w="1134" w:type="dxa"/>
            <w:shd w:val="clear" w:color="auto" w:fill="C0C0C0"/>
            <w:vAlign w:val="center"/>
          </w:tcPr>
          <w:p w14:paraId="3BD2C747" w14:textId="77777777" w:rsidR="00BF3335" w:rsidRPr="00BF3335" w:rsidRDefault="00BF3335" w:rsidP="00BF3335">
            <w:pPr>
              <w:pStyle w:val="Vade-Mecum0"/>
              <w:rPr>
                <w:sz w:val="20"/>
                <w:szCs w:val="20"/>
                <w:lang w:val="nl-NL"/>
              </w:rPr>
            </w:pPr>
          </w:p>
        </w:tc>
        <w:tc>
          <w:tcPr>
            <w:tcW w:w="1305" w:type="dxa"/>
            <w:shd w:val="clear" w:color="auto" w:fill="C0C0C0"/>
            <w:noWrap/>
            <w:vAlign w:val="center"/>
          </w:tcPr>
          <w:p w14:paraId="2033C770" w14:textId="77777777" w:rsidR="00BF3335" w:rsidRPr="00BF3335" w:rsidRDefault="00BF3335" w:rsidP="00BF3335">
            <w:pPr>
              <w:pStyle w:val="Vade-Mecum0"/>
              <w:rPr>
                <w:sz w:val="20"/>
                <w:szCs w:val="20"/>
                <w:lang w:val="nl-NL"/>
              </w:rPr>
            </w:pPr>
          </w:p>
        </w:tc>
      </w:tr>
      <w:tr w:rsidR="00BF3335" w:rsidRPr="006A3299" w14:paraId="1AA757C3" w14:textId="77777777" w:rsidTr="000C341A">
        <w:trPr>
          <w:trHeight w:val="255"/>
        </w:trPr>
        <w:tc>
          <w:tcPr>
            <w:tcW w:w="2452" w:type="dxa"/>
            <w:shd w:val="clear" w:color="auto" w:fill="auto"/>
          </w:tcPr>
          <w:p w14:paraId="51CBDC08" w14:textId="40F3B66C" w:rsidR="00BF3335" w:rsidRPr="00536422" w:rsidRDefault="00536422" w:rsidP="00DA6338">
            <w:pPr>
              <w:pStyle w:val="Vade-Mecum0"/>
              <w:spacing w:line="240" w:lineRule="auto"/>
              <w:rPr>
                <w:sz w:val="20"/>
                <w:szCs w:val="20"/>
              </w:rPr>
            </w:pPr>
            <w:r w:rsidRPr="00536422">
              <w:rPr>
                <w:sz w:val="20"/>
                <w:szCs w:val="20"/>
              </w:rPr>
              <w:t>[</w:t>
            </w:r>
            <w:r w:rsidRPr="00536422">
              <w:rPr>
                <w:i/>
                <w:iCs/>
                <w:sz w:val="20"/>
                <w:szCs w:val="20"/>
              </w:rPr>
              <w:t>Ajoutez des lignes pour d’autres dépenses éventuelles</w:t>
            </w:r>
            <w:r w:rsidRPr="00536422">
              <w:rPr>
                <w:sz w:val="20"/>
                <w:szCs w:val="20"/>
              </w:rPr>
              <w:t>]</w:t>
            </w:r>
          </w:p>
        </w:tc>
        <w:tc>
          <w:tcPr>
            <w:tcW w:w="1134" w:type="dxa"/>
            <w:shd w:val="clear" w:color="auto" w:fill="auto"/>
            <w:noWrap/>
            <w:vAlign w:val="center"/>
          </w:tcPr>
          <w:p w14:paraId="14C4FCF2" w14:textId="77777777" w:rsidR="00BF3335" w:rsidRPr="00536422" w:rsidRDefault="00BF3335" w:rsidP="00BF3335">
            <w:pPr>
              <w:pStyle w:val="Vade-Mecum0"/>
              <w:rPr>
                <w:sz w:val="20"/>
                <w:szCs w:val="20"/>
              </w:rPr>
            </w:pPr>
          </w:p>
        </w:tc>
        <w:tc>
          <w:tcPr>
            <w:tcW w:w="1417" w:type="dxa"/>
            <w:shd w:val="clear" w:color="auto" w:fill="auto"/>
            <w:noWrap/>
            <w:vAlign w:val="center"/>
          </w:tcPr>
          <w:p w14:paraId="642881D0" w14:textId="77777777" w:rsidR="00BF3335" w:rsidRPr="00536422" w:rsidRDefault="00BF3335" w:rsidP="00BF3335">
            <w:pPr>
              <w:pStyle w:val="Vade-Mecum0"/>
              <w:rPr>
                <w:sz w:val="20"/>
                <w:szCs w:val="20"/>
              </w:rPr>
            </w:pPr>
          </w:p>
        </w:tc>
        <w:tc>
          <w:tcPr>
            <w:tcW w:w="993" w:type="dxa"/>
            <w:shd w:val="clear" w:color="auto" w:fill="auto"/>
            <w:noWrap/>
            <w:vAlign w:val="center"/>
          </w:tcPr>
          <w:p w14:paraId="010907B8" w14:textId="77777777" w:rsidR="00BF3335" w:rsidRPr="00536422" w:rsidRDefault="00BF3335" w:rsidP="00BF3335">
            <w:pPr>
              <w:pStyle w:val="Vade-Mecum0"/>
              <w:rPr>
                <w:sz w:val="20"/>
                <w:szCs w:val="20"/>
              </w:rPr>
            </w:pPr>
          </w:p>
        </w:tc>
        <w:tc>
          <w:tcPr>
            <w:tcW w:w="821" w:type="dxa"/>
            <w:shd w:val="clear" w:color="auto" w:fill="auto"/>
            <w:noWrap/>
            <w:vAlign w:val="center"/>
          </w:tcPr>
          <w:p w14:paraId="5279DAAF" w14:textId="77777777" w:rsidR="00BF3335" w:rsidRPr="00536422" w:rsidRDefault="00BF3335" w:rsidP="00BF3335">
            <w:pPr>
              <w:pStyle w:val="Vade-Mecum0"/>
              <w:rPr>
                <w:sz w:val="20"/>
                <w:szCs w:val="20"/>
              </w:rPr>
            </w:pPr>
          </w:p>
        </w:tc>
        <w:tc>
          <w:tcPr>
            <w:tcW w:w="1134" w:type="dxa"/>
            <w:shd w:val="clear" w:color="auto" w:fill="C0C0C0"/>
            <w:vAlign w:val="center"/>
          </w:tcPr>
          <w:p w14:paraId="27C7584C" w14:textId="77777777" w:rsidR="00BF3335" w:rsidRPr="00536422" w:rsidRDefault="00BF3335" w:rsidP="00BF3335">
            <w:pPr>
              <w:pStyle w:val="Vade-Mecum0"/>
              <w:rPr>
                <w:sz w:val="20"/>
                <w:szCs w:val="20"/>
              </w:rPr>
            </w:pPr>
          </w:p>
        </w:tc>
        <w:tc>
          <w:tcPr>
            <w:tcW w:w="1305" w:type="dxa"/>
            <w:shd w:val="clear" w:color="auto" w:fill="C0C0C0"/>
            <w:noWrap/>
            <w:vAlign w:val="center"/>
          </w:tcPr>
          <w:p w14:paraId="2593300E" w14:textId="77777777" w:rsidR="00BF3335" w:rsidRPr="00536422" w:rsidRDefault="00BF3335" w:rsidP="00BF3335">
            <w:pPr>
              <w:pStyle w:val="Vade-Mecum0"/>
              <w:rPr>
                <w:sz w:val="20"/>
                <w:szCs w:val="20"/>
              </w:rPr>
            </w:pPr>
          </w:p>
        </w:tc>
      </w:tr>
      <w:tr w:rsidR="00BF3335" w:rsidRPr="00BF3335" w14:paraId="44619D7D" w14:textId="77777777" w:rsidTr="000C341A">
        <w:trPr>
          <w:trHeight w:val="255"/>
        </w:trPr>
        <w:tc>
          <w:tcPr>
            <w:tcW w:w="2452" w:type="dxa"/>
            <w:shd w:val="clear" w:color="auto" w:fill="auto"/>
            <w:vAlign w:val="center"/>
          </w:tcPr>
          <w:p w14:paraId="20DEA30B" w14:textId="0FAD4E15" w:rsidR="00BF3335" w:rsidRPr="00BF3335" w:rsidRDefault="00BF3335" w:rsidP="00BF3335">
            <w:pPr>
              <w:pStyle w:val="Vade-Mecum0"/>
              <w:rPr>
                <w:b/>
                <w:bCs/>
                <w:sz w:val="20"/>
                <w:szCs w:val="20"/>
                <w:lang w:val="nl-NL"/>
              </w:rPr>
            </w:pPr>
            <w:r w:rsidRPr="00BF3335">
              <w:rPr>
                <w:b/>
                <w:bCs/>
                <w:sz w:val="20"/>
                <w:szCs w:val="20"/>
                <w:lang w:val="nl-NL"/>
              </w:rPr>
              <w:t>TOTAL</w:t>
            </w:r>
          </w:p>
        </w:tc>
        <w:tc>
          <w:tcPr>
            <w:tcW w:w="1134" w:type="dxa"/>
            <w:shd w:val="clear" w:color="auto" w:fill="C0C0C0"/>
            <w:noWrap/>
            <w:vAlign w:val="center"/>
          </w:tcPr>
          <w:p w14:paraId="18219040" w14:textId="77777777" w:rsidR="00BF3335" w:rsidRPr="00BF3335" w:rsidRDefault="00BF3335" w:rsidP="00BF3335">
            <w:pPr>
              <w:pStyle w:val="Vade-Mecum0"/>
              <w:rPr>
                <w:sz w:val="20"/>
                <w:szCs w:val="20"/>
                <w:lang w:val="nl-NL"/>
              </w:rPr>
            </w:pPr>
          </w:p>
        </w:tc>
        <w:tc>
          <w:tcPr>
            <w:tcW w:w="1417" w:type="dxa"/>
            <w:shd w:val="clear" w:color="auto" w:fill="C0C0C0"/>
            <w:noWrap/>
            <w:vAlign w:val="center"/>
          </w:tcPr>
          <w:p w14:paraId="5AA7A404" w14:textId="77777777" w:rsidR="00BF3335" w:rsidRPr="00BF3335" w:rsidRDefault="00BF3335" w:rsidP="00BF3335">
            <w:pPr>
              <w:pStyle w:val="Vade-Mecum0"/>
              <w:rPr>
                <w:sz w:val="20"/>
                <w:szCs w:val="20"/>
                <w:lang w:val="nl-NL"/>
              </w:rPr>
            </w:pPr>
          </w:p>
        </w:tc>
        <w:tc>
          <w:tcPr>
            <w:tcW w:w="993" w:type="dxa"/>
            <w:shd w:val="clear" w:color="auto" w:fill="C0C0C0"/>
            <w:noWrap/>
            <w:vAlign w:val="center"/>
          </w:tcPr>
          <w:p w14:paraId="6C4C1334" w14:textId="77777777" w:rsidR="00BF3335" w:rsidRPr="00BF3335" w:rsidRDefault="00BF3335" w:rsidP="00BF3335">
            <w:pPr>
              <w:pStyle w:val="Vade-Mecum0"/>
              <w:rPr>
                <w:sz w:val="20"/>
                <w:szCs w:val="20"/>
                <w:lang w:val="nl-NL"/>
              </w:rPr>
            </w:pPr>
          </w:p>
        </w:tc>
        <w:tc>
          <w:tcPr>
            <w:tcW w:w="821" w:type="dxa"/>
            <w:shd w:val="clear" w:color="auto" w:fill="auto"/>
            <w:noWrap/>
            <w:vAlign w:val="center"/>
          </w:tcPr>
          <w:p w14:paraId="3D89A55B" w14:textId="77777777" w:rsidR="00BF3335" w:rsidRPr="00BF3335" w:rsidRDefault="00BF3335" w:rsidP="00BF3335">
            <w:pPr>
              <w:pStyle w:val="Vade-Mecum0"/>
              <w:rPr>
                <w:sz w:val="20"/>
                <w:szCs w:val="20"/>
                <w:lang w:val="nl-NL"/>
              </w:rPr>
            </w:pPr>
          </w:p>
        </w:tc>
        <w:tc>
          <w:tcPr>
            <w:tcW w:w="1134" w:type="dxa"/>
            <w:vAlign w:val="center"/>
          </w:tcPr>
          <w:p w14:paraId="64996A73" w14:textId="77777777" w:rsidR="00BF3335" w:rsidRPr="00BF3335" w:rsidRDefault="00BF3335" w:rsidP="00BF3335">
            <w:pPr>
              <w:pStyle w:val="Vade-Mecum0"/>
              <w:rPr>
                <w:sz w:val="20"/>
                <w:szCs w:val="20"/>
                <w:lang w:val="nl-NL"/>
              </w:rPr>
            </w:pPr>
          </w:p>
        </w:tc>
        <w:tc>
          <w:tcPr>
            <w:tcW w:w="1305" w:type="dxa"/>
            <w:shd w:val="clear" w:color="auto" w:fill="FFFFFF"/>
            <w:noWrap/>
            <w:vAlign w:val="center"/>
          </w:tcPr>
          <w:p w14:paraId="6C95A82C" w14:textId="77777777" w:rsidR="00BF3335" w:rsidRPr="00BF3335" w:rsidRDefault="00BF3335" w:rsidP="00BF3335">
            <w:pPr>
              <w:pStyle w:val="Vade-Mecum0"/>
              <w:rPr>
                <w:sz w:val="20"/>
                <w:szCs w:val="20"/>
                <w:lang w:val="nl-NL"/>
              </w:rPr>
            </w:pPr>
          </w:p>
        </w:tc>
      </w:tr>
    </w:tbl>
    <w:p w14:paraId="6FE3A7D6" w14:textId="77777777" w:rsidR="00BF3335" w:rsidRPr="00BF3335" w:rsidRDefault="00BF3335" w:rsidP="00BF3335">
      <w:pPr>
        <w:pStyle w:val="Vade-Mecum0"/>
        <w:rPr>
          <w:sz w:val="20"/>
          <w:szCs w:val="20"/>
          <w:lang w:val="nl-NL"/>
        </w:rPr>
      </w:pPr>
      <w:r w:rsidRPr="00BF3335">
        <w:rPr>
          <w:sz w:val="20"/>
          <w:szCs w:val="20"/>
          <w:lang w:val="nl-NL"/>
        </w:rPr>
        <w:br w:type="page"/>
      </w:r>
    </w:p>
    <w:p w14:paraId="0BAABE5F" w14:textId="77777777" w:rsidR="00BF3335" w:rsidRPr="00BF3335" w:rsidRDefault="00BF3335" w:rsidP="00BF3335">
      <w:pPr>
        <w:pStyle w:val="Vade-Mecum0"/>
        <w:rPr>
          <w:b/>
          <w:bCs/>
          <w:lang w:val="nl-NL"/>
        </w:rPr>
        <w:sectPr w:rsidR="00BF3335" w:rsidRPr="00BF3335" w:rsidSect="00511B64">
          <w:footerReference w:type="default" r:id="rId33"/>
          <w:pgSz w:w="11909" w:h="16834" w:code="9"/>
          <w:pgMar w:top="1418" w:right="1418" w:bottom="1418" w:left="1418" w:header="709" w:footer="709" w:gutter="0"/>
          <w:pgNumType w:start="1"/>
          <w:cols w:space="708"/>
          <w:docGrid w:linePitch="360"/>
        </w:sectPr>
      </w:pPr>
      <w:bookmarkStart w:id="766" w:name="_Hlk189502"/>
    </w:p>
    <w:p w14:paraId="3055FF48" w14:textId="487454ED" w:rsidR="00BF3335" w:rsidRPr="00BF3335" w:rsidRDefault="00BF3335" w:rsidP="005A7B61">
      <w:pPr>
        <w:pStyle w:val="Vade-mecumtitre1"/>
        <w:numPr>
          <w:ilvl w:val="0"/>
          <w:numId w:val="0"/>
        </w:numPr>
        <w:ind w:left="432" w:hanging="432"/>
      </w:pPr>
      <w:bookmarkStart w:id="767" w:name="_Toc35550160"/>
      <w:bookmarkStart w:id="768" w:name="_Toc117603289"/>
      <w:bookmarkEnd w:id="766"/>
      <w:r w:rsidRPr="00BF3335">
        <w:t xml:space="preserve">C2. </w:t>
      </w:r>
      <w:bookmarkEnd w:id="767"/>
      <w:r w:rsidR="00536422">
        <w:t>FORMULAIRE DE SOUMISSION</w:t>
      </w:r>
      <w:bookmarkEnd w:id="768"/>
    </w:p>
    <w:p w14:paraId="24868AC3" w14:textId="4FCC0EDB" w:rsidR="00BF3335" w:rsidRPr="00F43A99" w:rsidRDefault="00F43A99" w:rsidP="00FB017C">
      <w:pPr>
        <w:pStyle w:val="Vade-Mecum0"/>
        <w:spacing w:line="240" w:lineRule="auto"/>
      </w:pPr>
      <w:r w:rsidRPr="00F43A99">
        <w:t xml:space="preserve">Service de l’Evaluation spéciale  </w:t>
      </w:r>
      <w:r>
        <w:t xml:space="preserve">de la Coopération belge au Développement </w:t>
      </w:r>
      <w:r w:rsidR="00BF3335" w:rsidRPr="00F43A99">
        <w:t>(S</w:t>
      </w:r>
      <w:r w:rsidR="005A7B61" w:rsidRPr="00F43A99">
        <w:t>2</w:t>
      </w:r>
      <w:r w:rsidR="00BF3335" w:rsidRPr="00F43A99">
        <w:t xml:space="preserve">)  </w:t>
      </w:r>
      <w:r>
        <w:br/>
      </w:r>
      <w:r w:rsidR="006E2A0A" w:rsidRPr="006E2A0A">
        <w:t>Rue des Petits Carmes, 15 B-1000 Bruxelles</w:t>
      </w:r>
      <w:r w:rsidR="006E2A0A">
        <w:t>, Belgique</w:t>
      </w:r>
    </w:p>
    <w:p w14:paraId="1764020B" w14:textId="6E542D62" w:rsidR="00E12C6E" w:rsidRPr="006E2A0A" w:rsidRDefault="007950DA" w:rsidP="00FB017C">
      <w:pPr>
        <w:pStyle w:val="Vade-Mecum0"/>
        <w:spacing w:line="240" w:lineRule="auto"/>
      </w:pPr>
      <w:bookmarkStart w:id="769" w:name="_Hlk529797462"/>
      <w:r>
        <w:t>Ivo Hooghe</w:t>
      </w:r>
      <w:r w:rsidR="006E2A0A" w:rsidRPr="006E2A0A">
        <w:br/>
      </w:r>
      <w:r w:rsidR="00BF3335" w:rsidRPr="006E2A0A">
        <w:t xml:space="preserve">Tel: +32 (0)2 501 </w:t>
      </w:r>
      <w:r>
        <w:t>86 76</w:t>
      </w:r>
      <w:r w:rsidR="005A7B61" w:rsidRPr="006E2A0A">
        <w:br/>
      </w:r>
      <w:r w:rsidR="00BF3335" w:rsidRPr="006E2A0A">
        <w:t xml:space="preserve">Email: </w:t>
      </w:r>
      <w:hyperlink r:id="rId34" w:history="1">
        <w:r w:rsidR="00FB017C" w:rsidRPr="00372FED">
          <w:rPr>
            <w:rStyle w:val="Hyperlink"/>
          </w:rPr>
          <w:t>ivo.hooghe@diplobel.fed.be</w:t>
        </w:r>
      </w:hyperlink>
      <w:r w:rsidR="00FB017C">
        <w:rPr>
          <w:u w:val="single"/>
        </w:rPr>
        <w:t xml:space="preserve"> </w:t>
      </w:r>
    </w:p>
    <w:p w14:paraId="72AF1A96" w14:textId="77777777" w:rsidR="00E12C6E" w:rsidRPr="006E2A0A" w:rsidRDefault="00E12C6E" w:rsidP="00E12C6E">
      <w:pPr>
        <w:snapToGrid w:val="0"/>
        <w:spacing w:after="0" w:line="240" w:lineRule="auto"/>
        <w:ind w:right="-1"/>
        <w:jc w:val="left"/>
        <w:rPr>
          <w:rFonts w:eastAsia="Times New Roman" w:cs="Arial"/>
          <w:szCs w:val="22"/>
          <w:lang w:val="fr-BE"/>
        </w:rPr>
      </w:pPr>
    </w:p>
    <w:p w14:paraId="429BEE58" w14:textId="74754683" w:rsidR="00E12C6E" w:rsidRPr="006E1904" w:rsidRDefault="00341F6D" w:rsidP="00E12C6E">
      <w:pPr>
        <w:snapToGrid w:val="0"/>
        <w:spacing w:after="0" w:line="240" w:lineRule="auto"/>
        <w:rPr>
          <w:rFonts w:eastAsia="Times New Roman" w:cs="Arial"/>
          <w:szCs w:val="22"/>
          <w:lang w:val="fr-BE"/>
        </w:rPr>
      </w:pPr>
      <w:r w:rsidRPr="00D93B52">
        <w:rPr>
          <w:rFonts w:eastAsia="Times New Roman" w:cs="Arial"/>
          <w:szCs w:val="22"/>
          <w:lang w:val="fr-BE"/>
        </w:rPr>
        <w:t>CAHIER SPECIAL DES CHARGES</w:t>
      </w:r>
      <w:r w:rsidR="00E12C6E" w:rsidRPr="00D93B52">
        <w:rPr>
          <w:rFonts w:eastAsia="Times New Roman" w:cs="Arial"/>
          <w:szCs w:val="22"/>
          <w:lang w:val="fr-BE"/>
        </w:rPr>
        <w:t xml:space="preserve"> Nr. </w:t>
      </w:r>
      <w:r w:rsidR="00E12C6E" w:rsidRPr="006E1904">
        <w:rPr>
          <w:rFonts w:eastAsia="Times New Roman" w:cs="Times New Roman"/>
          <w:szCs w:val="22"/>
          <w:lang w:val="fr-BE"/>
        </w:rPr>
        <w:t>S2/</w:t>
      </w:r>
      <w:r w:rsidR="007950DA">
        <w:rPr>
          <w:rFonts w:eastAsia="Times New Roman" w:cs="Times New Roman"/>
          <w:szCs w:val="22"/>
          <w:lang w:val="fr-BE"/>
        </w:rPr>
        <w:t>2022/03</w:t>
      </w:r>
      <w:r w:rsidR="00E12C6E" w:rsidRPr="006E1904">
        <w:rPr>
          <w:rFonts w:eastAsia="Times New Roman" w:cs="Arial"/>
          <w:szCs w:val="22"/>
          <w:lang w:val="fr-BE"/>
        </w:rPr>
        <w:t xml:space="preserve"> </w:t>
      </w:r>
    </w:p>
    <w:p w14:paraId="73137790" w14:textId="77777777" w:rsidR="00E12C6E" w:rsidRPr="006E1904" w:rsidRDefault="00E12C6E" w:rsidP="00E12C6E">
      <w:pPr>
        <w:snapToGrid w:val="0"/>
        <w:spacing w:after="0" w:line="360" w:lineRule="auto"/>
        <w:rPr>
          <w:rFonts w:eastAsia="Times New Roman" w:cs="Arial"/>
          <w:szCs w:val="22"/>
          <w:lang w:val="fr-BE"/>
        </w:rPr>
      </w:pPr>
    </w:p>
    <w:p w14:paraId="4CDEC819" w14:textId="77777777" w:rsidR="00E12C6E" w:rsidRPr="006E1904" w:rsidRDefault="00E12C6E" w:rsidP="00E12C6E">
      <w:pPr>
        <w:framePr w:w="9063" w:h="1182" w:hRule="exact" w:hSpace="141" w:wrap="around" w:vAnchor="text" w:hAnchor="text" w:y="1"/>
        <w:pBdr>
          <w:top w:val="single" w:sz="6" w:space="1" w:color="auto"/>
          <w:left w:val="single" w:sz="6" w:space="1" w:color="auto"/>
          <w:bottom w:val="single" w:sz="6" w:space="1" w:color="auto"/>
          <w:right w:val="single" w:sz="6" w:space="1" w:color="auto"/>
        </w:pBdr>
        <w:snapToGrid w:val="0"/>
        <w:spacing w:after="0" w:line="360" w:lineRule="auto"/>
        <w:ind w:right="-1"/>
        <w:jc w:val="left"/>
        <w:rPr>
          <w:rFonts w:eastAsia="Times New Roman" w:cs="Arial"/>
          <w:szCs w:val="22"/>
          <w:lang w:val="fr-BE"/>
        </w:rPr>
      </w:pPr>
    </w:p>
    <w:p w14:paraId="19AF396E" w14:textId="11672721" w:rsidR="00E12C6E" w:rsidRPr="00D93B52" w:rsidRDefault="00D93B52" w:rsidP="00E12C6E">
      <w:pPr>
        <w:framePr w:w="9063" w:h="1182" w:hRule="exact" w:hSpace="141" w:wrap="around" w:vAnchor="text" w:hAnchor="text" w:y="1"/>
        <w:pBdr>
          <w:top w:val="single" w:sz="6" w:space="1" w:color="auto"/>
          <w:left w:val="single" w:sz="6" w:space="1" w:color="auto"/>
          <w:bottom w:val="single" w:sz="6" w:space="1" w:color="auto"/>
          <w:right w:val="single" w:sz="6" w:space="1" w:color="auto"/>
        </w:pBdr>
        <w:snapToGrid w:val="0"/>
        <w:spacing w:after="0" w:line="360" w:lineRule="auto"/>
        <w:ind w:right="-1"/>
        <w:rPr>
          <w:rFonts w:eastAsia="Times New Roman" w:cs="Arial"/>
          <w:szCs w:val="22"/>
          <w:lang w:val="fr-BE"/>
        </w:rPr>
      </w:pPr>
      <w:r>
        <w:rPr>
          <w:rFonts w:eastAsia="Times New Roman" w:cs="Arial"/>
          <w:szCs w:val="22"/>
          <w:lang w:val="fr-BE"/>
        </w:rPr>
        <w:t xml:space="preserve">Marché </w:t>
      </w:r>
      <w:r w:rsidRPr="00D93B52">
        <w:rPr>
          <w:rFonts w:eastAsia="Times New Roman" w:cs="Calibri"/>
          <w:szCs w:val="22"/>
          <w:lang w:val="fr-BE"/>
        </w:rPr>
        <w:t xml:space="preserve">public pour l’évaluation </w:t>
      </w:r>
      <w:r w:rsidR="007950DA" w:rsidRPr="007950DA">
        <w:rPr>
          <w:rFonts w:eastAsia="Times New Roman" w:cs="Calibri"/>
          <w:szCs w:val="22"/>
          <w:lang w:val="fr-BE"/>
        </w:rPr>
        <w:t>de l'approche belge</w:t>
      </w:r>
      <w:r w:rsidR="00A50C07">
        <w:rPr>
          <w:rFonts w:eastAsia="Times New Roman" w:cs="Calibri"/>
          <w:szCs w:val="22"/>
          <w:lang w:val="fr-BE"/>
        </w:rPr>
        <w:t xml:space="preserve"> en matière de fragilité</w:t>
      </w:r>
    </w:p>
    <w:bookmarkEnd w:id="769"/>
    <w:p w14:paraId="40DA08E8" w14:textId="77777777" w:rsidR="006A3299" w:rsidRDefault="006A3299" w:rsidP="00DA522B">
      <w:pPr>
        <w:snapToGrid w:val="0"/>
        <w:spacing w:line="360" w:lineRule="auto"/>
        <w:jc w:val="both"/>
        <w:rPr>
          <w:rFonts w:cs="Arial"/>
          <w:sz w:val="20"/>
          <w:szCs w:val="20"/>
          <w:lang w:val="nl-NL"/>
        </w:rPr>
      </w:pPr>
    </w:p>
    <w:p w14:paraId="34BA2A88" w14:textId="6D967A2D" w:rsidR="00DD1C21" w:rsidRPr="00DD1C21" w:rsidRDefault="00D93B52" w:rsidP="00DA522B">
      <w:pPr>
        <w:snapToGrid w:val="0"/>
        <w:spacing w:line="360" w:lineRule="auto"/>
        <w:jc w:val="both"/>
        <w:rPr>
          <w:rFonts w:cs="Arial"/>
          <w:sz w:val="20"/>
          <w:szCs w:val="20"/>
          <w:lang w:val="nl-NL"/>
        </w:rPr>
      </w:pPr>
      <w:r>
        <w:rPr>
          <w:rFonts w:cs="Arial"/>
          <w:sz w:val="20"/>
          <w:szCs w:val="20"/>
          <w:lang w:val="nl-NL"/>
        </w:rPr>
        <w:t>La</w:t>
      </w:r>
      <w:r w:rsidR="00DD1C21" w:rsidRPr="00DD1C21">
        <w:rPr>
          <w:rFonts w:cs="Arial"/>
          <w:sz w:val="20"/>
          <w:szCs w:val="20"/>
          <w:lang w:val="nl-NL"/>
        </w:rPr>
        <w:t xml:space="preserve"> firm</w:t>
      </w:r>
      <w:r>
        <w:rPr>
          <w:rFonts w:cs="Arial"/>
          <w:sz w:val="20"/>
          <w:szCs w:val="20"/>
          <w:lang w:val="nl-NL"/>
        </w:rPr>
        <w:t>e</w:t>
      </w:r>
      <w:r w:rsidR="000F4B6F">
        <w:rPr>
          <w:rFonts w:cs="Arial"/>
          <w:sz w:val="20"/>
          <w:szCs w:val="20"/>
          <w:lang w:val="nl-NL"/>
        </w:rPr>
        <w:t xml:space="preserve"> </w:t>
      </w:r>
      <w:r w:rsidR="00DD1C21" w:rsidRPr="00DD1C21">
        <w:rPr>
          <w:rFonts w:cs="Arial"/>
          <w:sz w:val="20"/>
          <w:szCs w:val="20"/>
          <w:lang w:val="nl-NL"/>
        </w:rPr>
        <w:t>:</w:t>
      </w:r>
    </w:p>
    <w:tbl>
      <w:tblPr>
        <w:tblW w:w="0" w:type="auto"/>
        <w:tblLayout w:type="fixed"/>
        <w:tblCellMar>
          <w:left w:w="70" w:type="dxa"/>
          <w:right w:w="70" w:type="dxa"/>
        </w:tblCellMar>
        <w:tblLook w:val="04A0" w:firstRow="1" w:lastRow="0" w:firstColumn="1" w:lastColumn="0" w:noHBand="0" w:noVBand="1"/>
      </w:tblPr>
      <w:tblGrid>
        <w:gridCol w:w="9211"/>
      </w:tblGrid>
      <w:tr w:rsidR="00DD1C21" w:rsidRPr="00DD1C21" w14:paraId="52C8CB99" w14:textId="77777777">
        <w:tc>
          <w:tcPr>
            <w:tcW w:w="9211" w:type="dxa"/>
            <w:tcBorders>
              <w:top w:val="single" w:sz="6" w:space="0" w:color="auto"/>
              <w:left w:val="single" w:sz="6" w:space="0" w:color="auto"/>
              <w:bottom w:val="single" w:sz="6" w:space="0" w:color="auto"/>
              <w:right w:val="single" w:sz="6" w:space="0" w:color="auto"/>
            </w:tcBorders>
          </w:tcPr>
          <w:p w14:paraId="64FE7587" w14:textId="77777777" w:rsidR="00DD1C21" w:rsidRPr="00DD1C21" w:rsidRDefault="00DD1C21" w:rsidP="00DD1C21">
            <w:pPr>
              <w:snapToGrid w:val="0"/>
              <w:spacing w:line="360" w:lineRule="auto"/>
              <w:rPr>
                <w:rFonts w:cs="Arial"/>
                <w:sz w:val="20"/>
                <w:szCs w:val="20"/>
                <w:lang w:val="nl-NL"/>
              </w:rPr>
            </w:pPr>
          </w:p>
          <w:p w14:paraId="10EF98E2" w14:textId="06DD083F" w:rsidR="00DD1C21" w:rsidRPr="00DD1C21" w:rsidRDefault="00DD1C21" w:rsidP="00DD1C21">
            <w:pPr>
              <w:snapToGrid w:val="0"/>
              <w:spacing w:line="360" w:lineRule="auto"/>
              <w:jc w:val="right"/>
              <w:rPr>
                <w:rFonts w:cs="Arial"/>
                <w:sz w:val="20"/>
                <w:szCs w:val="20"/>
                <w:lang w:val="nl-NL"/>
              </w:rPr>
            </w:pPr>
            <w:r w:rsidRPr="00DD1C21">
              <w:rPr>
                <w:rFonts w:cs="Arial"/>
                <w:sz w:val="20"/>
                <w:szCs w:val="20"/>
                <w:lang w:val="nl-NL"/>
              </w:rPr>
              <w:t>(</w:t>
            </w:r>
            <w:r w:rsidR="00134CC5" w:rsidRPr="00134CC5">
              <w:rPr>
                <w:rFonts w:cs="Arial"/>
                <w:sz w:val="20"/>
                <w:szCs w:val="20"/>
                <w:lang w:val="nl-NL"/>
              </w:rPr>
              <w:t>dénomination complète)</w:t>
            </w:r>
          </w:p>
        </w:tc>
      </w:tr>
    </w:tbl>
    <w:p w14:paraId="3D288690" w14:textId="77777777" w:rsidR="00DA522B" w:rsidRDefault="00DA522B" w:rsidP="00DA522B">
      <w:pPr>
        <w:snapToGrid w:val="0"/>
        <w:spacing w:line="360" w:lineRule="auto"/>
        <w:jc w:val="both"/>
        <w:rPr>
          <w:rFonts w:cs="Arial"/>
          <w:sz w:val="20"/>
          <w:szCs w:val="20"/>
          <w:lang w:val="nl-NL"/>
        </w:rPr>
      </w:pPr>
    </w:p>
    <w:p w14:paraId="7D26411F" w14:textId="279DFFC4" w:rsidR="00DD1C21" w:rsidRPr="00DD1C21" w:rsidRDefault="00134CC5" w:rsidP="00DA522B">
      <w:pPr>
        <w:snapToGrid w:val="0"/>
        <w:spacing w:line="360" w:lineRule="auto"/>
        <w:jc w:val="both"/>
        <w:rPr>
          <w:rFonts w:cs="Arial"/>
          <w:sz w:val="20"/>
          <w:szCs w:val="20"/>
          <w:lang w:val="nl-NL"/>
        </w:rPr>
      </w:pPr>
      <w:r>
        <w:rPr>
          <w:rFonts w:cs="Arial"/>
          <w:sz w:val="20"/>
          <w:szCs w:val="20"/>
          <w:lang w:val="nl-NL"/>
        </w:rPr>
        <w:t>Dont l’adresse est</w:t>
      </w:r>
      <w:r w:rsidR="000F4B6F">
        <w:rPr>
          <w:rFonts w:cs="Arial"/>
          <w:sz w:val="20"/>
          <w:szCs w:val="20"/>
          <w:lang w:val="nl-NL"/>
        </w:rPr>
        <w:t xml:space="preserve"> </w:t>
      </w:r>
      <w:r w:rsidR="00DD1C21" w:rsidRPr="00DD1C21">
        <w:rPr>
          <w:rFonts w:cs="Arial"/>
          <w:sz w:val="20"/>
          <w:szCs w:val="20"/>
          <w:lang w:val="nl-NL"/>
        </w:rPr>
        <w:t>:</w:t>
      </w:r>
    </w:p>
    <w:tbl>
      <w:tblPr>
        <w:tblW w:w="0" w:type="auto"/>
        <w:tblLayout w:type="fixed"/>
        <w:tblCellMar>
          <w:left w:w="70" w:type="dxa"/>
          <w:right w:w="70" w:type="dxa"/>
        </w:tblCellMar>
        <w:tblLook w:val="04A0" w:firstRow="1" w:lastRow="0" w:firstColumn="1" w:lastColumn="0" w:noHBand="0" w:noVBand="1"/>
      </w:tblPr>
      <w:tblGrid>
        <w:gridCol w:w="9211"/>
      </w:tblGrid>
      <w:tr w:rsidR="00DD1C21" w:rsidRPr="0088204B" w14:paraId="01B497DE" w14:textId="77777777">
        <w:tc>
          <w:tcPr>
            <w:tcW w:w="9211" w:type="dxa"/>
            <w:tcBorders>
              <w:top w:val="single" w:sz="6" w:space="0" w:color="auto"/>
              <w:left w:val="single" w:sz="6" w:space="0" w:color="auto"/>
              <w:bottom w:val="single" w:sz="6" w:space="0" w:color="auto"/>
              <w:right w:val="single" w:sz="6" w:space="0" w:color="auto"/>
            </w:tcBorders>
          </w:tcPr>
          <w:p w14:paraId="3F9D40F7" w14:textId="77777777" w:rsidR="00DD1C21" w:rsidRPr="00134CC5" w:rsidRDefault="00DD1C21" w:rsidP="00DD1C21">
            <w:pPr>
              <w:snapToGrid w:val="0"/>
              <w:spacing w:line="360" w:lineRule="auto"/>
              <w:jc w:val="right"/>
              <w:rPr>
                <w:rFonts w:cs="Arial"/>
                <w:sz w:val="20"/>
                <w:szCs w:val="20"/>
                <w:lang w:val="fr-BE"/>
              </w:rPr>
            </w:pPr>
          </w:p>
          <w:p w14:paraId="2EAB315E" w14:textId="3F49B53D" w:rsidR="00DD1C21" w:rsidRPr="00134CC5" w:rsidRDefault="00DD1C21" w:rsidP="00DA522B">
            <w:pPr>
              <w:snapToGrid w:val="0"/>
              <w:spacing w:line="360" w:lineRule="auto"/>
              <w:jc w:val="right"/>
              <w:rPr>
                <w:rFonts w:cs="Arial"/>
                <w:sz w:val="20"/>
                <w:szCs w:val="20"/>
                <w:lang w:val="fr-BE"/>
              </w:rPr>
            </w:pPr>
            <w:r w:rsidRPr="00134CC5">
              <w:rPr>
                <w:rFonts w:cs="Arial"/>
                <w:sz w:val="20"/>
                <w:szCs w:val="20"/>
                <w:lang w:val="fr-BE"/>
              </w:rPr>
              <w:t>(</w:t>
            </w:r>
            <w:r w:rsidR="00134CC5" w:rsidRPr="00134CC5">
              <w:rPr>
                <w:rFonts w:cs="Arial"/>
                <w:sz w:val="20"/>
                <w:szCs w:val="20"/>
                <w:lang w:val="fr-BE"/>
              </w:rPr>
              <w:t>rue</w:t>
            </w:r>
            <w:r w:rsidRPr="00134CC5">
              <w:rPr>
                <w:rFonts w:cs="Arial"/>
                <w:sz w:val="20"/>
                <w:szCs w:val="20"/>
                <w:lang w:val="fr-BE"/>
              </w:rPr>
              <w:t>)</w:t>
            </w:r>
          </w:p>
          <w:p w14:paraId="0690EFAD" w14:textId="6B0DF82F" w:rsidR="00DD1C21" w:rsidRPr="00134CC5" w:rsidRDefault="00DD1C21" w:rsidP="00DA522B">
            <w:pPr>
              <w:snapToGrid w:val="0"/>
              <w:spacing w:line="360" w:lineRule="auto"/>
              <w:jc w:val="right"/>
              <w:rPr>
                <w:rFonts w:cs="Arial"/>
                <w:sz w:val="20"/>
                <w:szCs w:val="20"/>
                <w:lang w:val="fr-BE"/>
              </w:rPr>
            </w:pPr>
            <w:r w:rsidRPr="00134CC5">
              <w:rPr>
                <w:rFonts w:cs="Arial"/>
                <w:sz w:val="20"/>
                <w:szCs w:val="20"/>
                <w:lang w:val="fr-BE"/>
              </w:rPr>
              <w:t>(</w:t>
            </w:r>
            <w:r w:rsidR="00134CC5" w:rsidRPr="00134CC5">
              <w:rPr>
                <w:rFonts w:cs="Arial"/>
                <w:sz w:val="20"/>
                <w:szCs w:val="20"/>
                <w:lang w:val="fr-BE"/>
              </w:rPr>
              <w:t>code postal et commune</w:t>
            </w:r>
            <w:r w:rsidRPr="00134CC5">
              <w:rPr>
                <w:rFonts w:cs="Arial"/>
                <w:sz w:val="20"/>
                <w:szCs w:val="20"/>
                <w:lang w:val="fr-BE"/>
              </w:rPr>
              <w:t>)</w:t>
            </w:r>
          </w:p>
          <w:p w14:paraId="2EC975AF" w14:textId="3AE9AE0A" w:rsidR="00DD1C21" w:rsidRPr="00DD1C21" w:rsidRDefault="00DD1C21" w:rsidP="00DA522B">
            <w:pPr>
              <w:snapToGrid w:val="0"/>
              <w:spacing w:line="360" w:lineRule="auto"/>
              <w:jc w:val="right"/>
              <w:rPr>
                <w:rFonts w:cs="Arial"/>
                <w:sz w:val="20"/>
                <w:szCs w:val="20"/>
                <w:lang w:val="nl-NL"/>
              </w:rPr>
            </w:pPr>
            <w:r w:rsidRPr="00DD1C21">
              <w:rPr>
                <w:rFonts w:cs="Arial"/>
                <w:sz w:val="20"/>
                <w:szCs w:val="20"/>
                <w:lang w:val="nl-NL"/>
              </w:rPr>
              <w:t>(</w:t>
            </w:r>
            <w:r w:rsidR="00134CC5">
              <w:rPr>
                <w:rFonts w:cs="Arial"/>
                <w:sz w:val="20"/>
                <w:szCs w:val="20"/>
                <w:lang w:val="nl-NL"/>
              </w:rPr>
              <w:t>pays</w:t>
            </w:r>
            <w:r w:rsidRPr="00DD1C21">
              <w:rPr>
                <w:rFonts w:cs="Arial"/>
                <w:sz w:val="20"/>
                <w:szCs w:val="20"/>
                <w:lang w:val="nl-NL"/>
              </w:rPr>
              <w:t xml:space="preserve">) </w:t>
            </w:r>
          </w:p>
        </w:tc>
      </w:tr>
    </w:tbl>
    <w:p w14:paraId="0832BDBC" w14:textId="77777777" w:rsidR="00DD1C21" w:rsidRPr="00DD1C21" w:rsidRDefault="00DD1C21" w:rsidP="00DD1C21">
      <w:pPr>
        <w:snapToGrid w:val="0"/>
        <w:spacing w:line="360" w:lineRule="auto"/>
        <w:ind w:right="-1"/>
        <w:rPr>
          <w:rFonts w:cs="Arial"/>
          <w:sz w:val="20"/>
          <w:szCs w:val="20"/>
          <w:lang w:val="nl-NL"/>
        </w:rPr>
      </w:pPr>
    </w:p>
    <w:tbl>
      <w:tblPr>
        <w:tblW w:w="0" w:type="auto"/>
        <w:tblLayout w:type="fixed"/>
        <w:tblCellMar>
          <w:left w:w="70" w:type="dxa"/>
          <w:right w:w="70" w:type="dxa"/>
        </w:tblCellMar>
        <w:tblLook w:val="04A0" w:firstRow="1" w:lastRow="0" w:firstColumn="1" w:lastColumn="0" w:noHBand="0" w:noVBand="1"/>
      </w:tblPr>
      <w:tblGrid>
        <w:gridCol w:w="4181"/>
        <w:gridCol w:w="5029"/>
      </w:tblGrid>
      <w:tr w:rsidR="00DD1C21" w:rsidRPr="006A3299" w14:paraId="050CE729" w14:textId="77777777">
        <w:tc>
          <w:tcPr>
            <w:tcW w:w="4181" w:type="dxa"/>
            <w:hideMark/>
          </w:tcPr>
          <w:p w14:paraId="1DA59939" w14:textId="6F7CC619" w:rsidR="00DD1C21" w:rsidRPr="00744EED" w:rsidRDefault="00744EED" w:rsidP="00DD1C21">
            <w:pPr>
              <w:snapToGrid w:val="0"/>
              <w:spacing w:line="240" w:lineRule="auto"/>
              <w:rPr>
                <w:rFonts w:cs="Arial"/>
                <w:sz w:val="20"/>
                <w:szCs w:val="20"/>
                <w:lang w:val="fr-BE"/>
              </w:rPr>
            </w:pPr>
            <w:r w:rsidRPr="00744EED">
              <w:rPr>
                <w:rFonts w:cs="Arial"/>
                <w:sz w:val="20"/>
                <w:szCs w:val="20"/>
                <w:lang w:val="fr-BE"/>
              </w:rPr>
              <w:t xml:space="preserve">Immatriculée à la Banque Carrefour des Entreprises sous le numéro </w:t>
            </w:r>
            <w:r w:rsidR="00DD1C21" w:rsidRPr="00744EED">
              <w:rPr>
                <w:rFonts w:cs="Arial"/>
                <w:sz w:val="20"/>
                <w:szCs w:val="20"/>
                <w:lang w:val="fr-BE"/>
              </w:rPr>
              <w:t>:</w:t>
            </w:r>
          </w:p>
        </w:tc>
        <w:tc>
          <w:tcPr>
            <w:tcW w:w="5029" w:type="dxa"/>
            <w:tcBorders>
              <w:top w:val="single" w:sz="6" w:space="0" w:color="auto"/>
              <w:left w:val="single" w:sz="6" w:space="0" w:color="auto"/>
              <w:bottom w:val="single" w:sz="6" w:space="0" w:color="auto"/>
              <w:right w:val="single" w:sz="6" w:space="0" w:color="auto"/>
            </w:tcBorders>
          </w:tcPr>
          <w:p w14:paraId="74F3F035" w14:textId="77777777" w:rsidR="00DD1C21" w:rsidRPr="00744EED" w:rsidRDefault="00DD1C21" w:rsidP="00DD1C21">
            <w:pPr>
              <w:snapToGrid w:val="0"/>
              <w:spacing w:line="360" w:lineRule="auto"/>
              <w:rPr>
                <w:rFonts w:cs="Arial"/>
                <w:sz w:val="20"/>
                <w:szCs w:val="20"/>
                <w:lang w:val="fr-BE"/>
              </w:rPr>
            </w:pPr>
          </w:p>
          <w:p w14:paraId="4D5305A8" w14:textId="77777777" w:rsidR="00DD1C21" w:rsidRPr="00744EED" w:rsidRDefault="00DD1C21" w:rsidP="00DD1C21">
            <w:pPr>
              <w:snapToGrid w:val="0"/>
              <w:spacing w:line="360" w:lineRule="auto"/>
              <w:rPr>
                <w:rFonts w:cs="Arial"/>
                <w:sz w:val="20"/>
                <w:szCs w:val="20"/>
                <w:lang w:val="fr-BE"/>
              </w:rPr>
            </w:pPr>
          </w:p>
        </w:tc>
      </w:tr>
    </w:tbl>
    <w:p w14:paraId="5B0CBD4D" w14:textId="77777777" w:rsidR="00DD1C21" w:rsidRPr="00744EED" w:rsidRDefault="00DD1C21" w:rsidP="00DD1C21">
      <w:pPr>
        <w:snapToGrid w:val="0"/>
        <w:spacing w:line="360" w:lineRule="auto"/>
        <w:ind w:right="-1"/>
        <w:rPr>
          <w:rFonts w:cs="Arial"/>
          <w:sz w:val="20"/>
          <w:szCs w:val="20"/>
          <w:lang w:val="fr-BE"/>
        </w:rPr>
      </w:pPr>
    </w:p>
    <w:tbl>
      <w:tblPr>
        <w:tblW w:w="0" w:type="auto"/>
        <w:tblLayout w:type="fixed"/>
        <w:tblCellMar>
          <w:left w:w="70" w:type="dxa"/>
          <w:right w:w="70" w:type="dxa"/>
        </w:tblCellMar>
        <w:tblLook w:val="04A0" w:firstRow="1" w:lastRow="0" w:firstColumn="1" w:lastColumn="0" w:noHBand="0" w:noVBand="1"/>
      </w:tblPr>
      <w:tblGrid>
        <w:gridCol w:w="4181"/>
        <w:gridCol w:w="5029"/>
      </w:tblGrid>
      <w:tr w:rsidR="00DD1C21" w:rsidRPr="00DD1C21" w14:paraId="6C1D359F" w14:textId="77777777">
        <w:tc>
          <w:tcPr>
            <w:tcW w:w="4181" w:type="dxa"/>
            <w:hideMark/>
          </w:tcPr>
          <w:p w14:paraId="12C70FA9" w14:textId="787425E8" w:rsidR="00DD1C21" w:rsidRPr="00B824E5" w:rsidRDefault="00744EED" w:rsidP="002E704D">
            <w:pPr>
              <w:snapToGrid w:val="0"/>
              <w:spacing w:line="360" w:lineRule="auto"/>
              <w:jc w:val="both"/>
              <w:rPr>
                <w:rFonts w:cs="Arial"/>
                <w:i/>
                <w:sz w:val="20"/>
                <w:szCs w:val="20"/>
                <w:lang w:val="fr-BE"/>
              </w:rPr>
            </w:pPr>
            <w:r w:rsidRPr="00B824E5">
              <w:rPr>
                <w:rFonts w:cs="Arial"/>
                <w:sz w:val="20"/>
                <w:szCs w:val="20"/>
                <w:lang w:val="fr-BE"/>
              </w:rPr>
              <w:t>et pour laquelle Monsieur/Madame</w:t>
            </w:r>
            <w:r w:rsidR="00DD1C21" w:rsidRPr="00B824E5">
              <w:rPr>
                <w:rFonts w:cs="Arial"/>
                <w:sz w:val="20"/>
                <w:szCs w:val="20"/>
                <w:lang w:val="fr-BE"/>
              </w:rPr>
              <w:t>/x</w:t>
            </w:r>
            <w:r w:rsidR="00DD1C21" w:rsidRPr="00DD1C21">
              <w:rPr>
                <w:rFonts w:cs="Arial"/>
                <w:sz w:val="20"/>
                <w:szCs w:val="20"/>
                <w:vertAlign w:val="superscript"/>
                <w:lang w:val="nl-NL"/>
              </w:rPr>
              <w:footnoteReference w:id="9"/>
            </w:r>
            <w:r w:rsidR="00B824E5">
              <w:rPr>
                <w:rFonts w:cs="Arial"/>
                <w:sz w:val="20"/>
                <w:szCs w:val="20"/>
                <w:lang w:val="fr-BE"/>
              </w:rPr>
              <w:t> :</w:t>
            </w:r>
          </w:p>
        </w:tc>
        <w:tc>
          <w:tcPr>
            <w:tcW w:w="5029" w:type="dxa"/>
            <w:tcBorders>
              <w:top w:val="single" w:sz="6" w:space="0" w:color="auto"/>
              <w:left w:val="single" w:sz="6" w:space="0" w:color="auto"/>
              <w:bottom w:val="single" w:sz="6" w:space="0" w:color="auto"/>
              <w:right w:val="single" w:sz="6" w:space="0" w:color="auto"/>
            </w:tcBorders>
            <w:hideMark/>
          </w:tcPr>
          <w:p w14:paraId="0636E409" w14:textId="1544E23A" w:rsidR="00DD1C21" w:rsidRPr="00DD1C21" w:rsidRDefault="00DD1C21" w:rsidP="00DA522B">
            <w:pPr>
              <w:snapToGrid w:val="0"/>
              <w:spacing w:line="360" w:lineRule="auto"/>
              <w:jc w:val="right"/>
              <w:rPr>
                <w:rFonts w:cs="Arial"/>
                <w:sz w:val="20"/>
                <w:szCs w:val="20"/>
                <w:lang w:val="nl-NL"/>
              </w:rPr>
            </w:pPr>
            <w:r w:rsidRPr="00DD1C21">
              <w:rPr>
                <w:rFonts w:cs="Arial"/>
                <w:sz w:val="20"/>
                <w:szCs w:val="20"/>
                <w:lang w:val="nl-NL"/>
              </w:rPr>
              <w:t>(n</w:t>
            </w:r>
            <w:r w:rsidR="00B824E5">
              <w:rPr>
                <w:rFonts w:cs="Arial"/>
                <w:sz w:val="20"/>
                <w:szCs w:val="20"/>
                <w:lang w:val="nl-NL"/>
              </w:rPr>
              <w:t>om</w:t>
            </w:r>
            <w:r w:rsidRPr="00DD1C21">
              <w:rPr>
                <w:rFonts w:cs="Arial"/>
                <w:sz w:val="20"/>
                <w:szCs w:val="20"/>
                <w:lang w:val="nl-NL"/>
              </w:rPr>
              <w:t>)</w:t>
            </w:r>
          </w:p>
          <w:p w14:paraId="08E04C68" w14:textId="00BF1769" w:rsidR="00DD1C21" w:rsidRPr="00DD1C21" w:rsidRDefault="00DD1C21" w:rsidP="00DA522B">
            <w:pPr>
              <w:snapToGrid w:val="0"/>
              <w:spacing w:line="360" w:lineRule="auto"/>
              <w:jc w:val="right"/>
              <w:rPr>
                <w:rFonts w:cs="Arial"/>
                <w:sz w:val="20"/>
                <w:szCs w:val="20"/>
                <w:lang w:val="nl-NL"/>
              </w:rPr>
            </w:pPr>
            <w:r w:rsidRPr="00DD1C21">
              <w:rPr>
                <w:rFonts w:cs="Arial"/>
                <w:sz w:val="20"/>
                <w:szCs w:val="20"/>
                <w:lang w:val="nl-NL"/>
              </w:rPr>
              <w:t>(functi</w:t>
            </w:r>
            <w:r w:rsidR="00B824E5">
              <w:rPr>
                <w:rFonts w:cs="Arial"/>
                <w:sz w:val="20"/>
                <w:szCs w:val="20"/>
                <w:lang w:val="nl-NL"/>
              </w:rPr>
              <w:t>on</w:t>
            </w:r>
            <w:r w:rsidRPr="00DD1C21">
              <w:rPr>
                <w:rFonts w:cs="Arial"/>
                <w:sz w:val="20"/>
                <w:szCs w:val="20"/>
                <w:lang w:val="nl-NL"/>
              </w:rPr>
              <w:t>)</w:t>
            </w:r>
          </w:p>
          <w:p w14:paraId="1FDFE9E8" w14:textId="77777777" w:rsidR="00DD1C21" w:rsidRPr="00DD1C21" w:rsidRDefault="00DD1C21" w:rsidP="00DD1C21">
            <w:pPr>
              <w:snapToGrid w:val="0"/>
              <w:spacing w:line="360" w:lineRule="auto"/>
              <w:jc w:val="right"/>
              <w:rPr>
                <w:rFonts w:cs="Arial"/>
                <w:sz w:val="20"/>
                <w:szCs w:val="20"/>
                <w:lang w:val="nl-NL"/>
              </w:rPr>
            </w:pPr>
          </w:p>
        </w:tc>
      </w:tr>
    </w:tbl>
    <w:p w14:paraId="6B323DC0" w14:textId="77777777" w:rsidR="00DD1C21" w:rsidRPr="00DD1C21" w:rsidRDefault="00DD1C21" w:rsidP="00DA522B">
      <w:pPr>
        <w:snapToGrid w:val="0"/>
        <w:spacing w:line="360" w:lineRule="auto"/>
        <w:ind w:right="-1"/>
        <w:jc w:val="both"/>
        <w:rPr>
          <w:rFonts w:cs="Arial"/>
          <w:sz w:val="20"/>
          <w:szCs w:val="20"/>
          <w:lang w:val="nl-NL"/>
        </w:rPr>
      </w:pPr>
    </w:p>
    <w:p w14:paraId="0177F1BB" w14:textId="6665D60F" w:rsidR="00DD1C21" w:rsidRPr="00DD1C21" w:rsidRDefault="00B824E5" w:rsidP="002E704D">
      <w:pPr>
        <w:snapToGrid w:val="0"/>
        <w:spacing w:line="360" w:lineRule="auto"/>
        <w:ind w:right="-1"/>
        <w:jc w:val="both"/>
        <w:rPr>
          <w:rFonts w:cs="Arial"/>
          <w:sz w:val="20"/>
          <w:szCs w:val="20"/>
          <w:lang w:val="nl-NL"/>
        </w:rPr>
      </w:pPr>
      <w:r w:rsidRPr="00B824E5">
        <w:rPr>
          <w:rFonts w:cs="Arial"/>
          <w:sz w:val="20"/>
          <w:szCs w:val="20"/>
          <w:lang w:val="nl-NL"/>
        </w:rPr>
        <w:t>domicilié(e) à l’adresse</w:t>
      </w:r>
      <w:r>
        <w:rPr>
          <w:rFonts w:cs="Arial"/>
          <w:sz w:val="20"/>
          <w:szCs w:val="20"/>
          <w:lang w:val="nl-NL"/>
        </w:rPr>
        <w:t xml:space="preserve"> </w:t>
      </w:r>
      <w:r w:rsidRPr="00B824E5">
        <w:rPr>
          <w:rFonts w:cs="Arial"/>
          <w:sz w:val="20"/>
          <w:szCs w:val="20"/>
          <w:lang w:val="nl-NL"/>
        </w:rPr>
        <w:t>:</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1"/>
      </w:tblGrid>
      <w:tr w:rsidR="00DD1C21" w:rsidRPr="0088204B" w14:paraId="4479C223" w14:textId="77777777">
        <w:tc>
          <w:tcPr>
            <w:tcW w:w="9211" w:type="dxa"/>
            <w:tcBorders>
              <w:top w:val="single" w:sz="6" w:space="0" w:color="auto"/>
              <w:left w:val="single" w:sz="6" w:space="0" w:color="auto"/>
              <w:bottom w:val="single" w:sz="6" w:space="0" w:color="auto"/>
              <w:right w:val="single" w:sz="6" w:space="0" w:color="auto"/>
            </w:tcBorders>
          </w:tcPr>
          <w:p w14:paraId="71813386" w14:textId="77777777" w:rsidR="00DD1C21" w:rsidRPr="000F4B6F" w:rsidRDefault="00DD1C21" w:rsidP="00DD1C21">
            <w:pPr>
              <w:snapToGrid w:val="0"/>
              <w:spacing w:line="360" w:lineRule="auto"/>
              <w:jc w:val="right"/>
              <w:rPr>
                <w:rFonts w:cs="Arial"/>
                <w:sz w:val="20"/>
                <w:szCs w:val="20"/>
                <w:lang w:val="fr-BE"/>
              </w:rPr>
            </w:pPr>
          </w:p>
          <w:p w14:paraId="6D572968" w14:textId="6DA485BC" w:rsidR="00DD1C21" w:rsidRPr="000F4B6F" w:rsidRDefault="00DD1C21" w:rsidP="00DA522B">
            <w:pPr>
              <w:snapToGrid w:val="0"/>
              <w:spacing w:line="360" w:lineRule="auto"/>
              <w:jc w:val="right"/>
              <w:rPr>
                <w:rFonts w:cs="Arial"/>
                <w:sz w:val="20"/>
                <w:szCs w:val="20"/>
                <w:lang w:val="fr-BE"/>
              </w:rPr>
            </w:pPr>
            <w:r w:rsidRPr="000F4B6F">
              <w:rPr>
                <w:rFonts w:cs="Arial"/>
                <w:sz w:val="20"/>
                <w:szCs w:val="20"/>
                <w:lang w:val="fr-BE"/>
              </w:rPr>
              <w:t>(</w:t>
            </w:r>
            <w:r w:rsidR="000F4B6F" w:rsidRPr="000F4B6F">
              <w:rPr>
                <w:rFonts w:cs="Arial"/>
                <w:sz w:val="20"/>
                <w:szCs w:val="20"/>
                <w:lang w:val="fr-BE"/>
              </w:rPr>
              <w:t>rue</w:t>
            </w:r>
            <w:r w:rsidRPr="000F4B6F">
              <w:rPr>
                <w:rFonts w:cs="Arial"/>
                <w:sz w:val="20"/>
                <w:szCs w:val="20"/>
                <w:lang w:val="fr-BE"/>
              </w:rPr>
              <w:t>)</w:t>
            </w:r>
          </w:p>
          <w:p w14:paraId="77DABBBE" w14:textId="486115DB" w:rsidR="00DD1C21" w:rsidRPr="000F4B6F" w:rsidRDefault="00DD1C21" w:rsidP="00DA522B">
            <w:pPr>
              <w:snapToGrid w:val="0"/>
              <w:spacing w:line="360" w:lineRule="auto"/>
              <w:jc w:val="right"/>
              <w:rPr>
                <w:rFonts w:cs="Arial"/>
                <w:sz w:val="20"/>
                <w:szCs w:val="20"/>
                <w:lang w:val="fr-BE"/>
              </w:rPr>
            </w:pPr>
            <w:r w:rsidRPr="000F4B6F">
              <w:rPr>
                <w:rFonts w:cs="Arial"/>
                <w:sz w:val="20"/>
                <w:szCs w:val="20"/>
                <w:lang w:val="fr-BE"/>
              </w:rPr>
              <w:t>(</w:t>
            </w:r>
            <w:r w:rsidR="000F4B6F" w:rsidRPr="000F4B6F">
              <w:rPr>
                <w:rFonts w:cs="Arial"/>
                <w:sz w:val="20"/>
                <w:szCs w:val="20"/>
                <w:lang w:val="fr-BE"/>
              </w:rPr>
              <w:t>code postal et commune</w:t>
            </w:r>
            <w:r w:rsidRPr="000F4B6F">
              <w:rPr>
                <w:rFonts w:cs="Arial"/>
                <w:sz w:val="20"/>
                <w:szCs w:val="20"/>
                <w:lang w:val="fr-BE"/>
              </w:rPr>
              <w:t>)</w:t>
            </w:r>
          </w:p>
          <w:p w14:paraId="3C167455" w14:textId="414EC2D5" w:rsidR="00DD1C21" w:rsidRPr="00DD1C21" w:rsidRDefault="00DD1C21" w:rsidP="00DA522B">
            <w:pPr>
              <w:snapToGrid w:val="0"/>
              <w:spacing w:line="360" w:lineRule="auto"/>
              <w:jc w:val="right"/>
              <w:rPr>
                <w:rFonts w:cs="Arial"/>
                <w:sz w:val="20"/>
                <w:szCs w:val="20"/>
                <w:lang w:val="nl-NL"/>
              </w:rPr>
            </w:pPr>
            <w:r w:rsidRPr="00DD1C21">
              <w:rPr>
                <w:rFonts w:cs="Arial"/>
                <w:sz w:val="20"/>
                <w:szCs w:val="20"/>
                <w:lang w:val="nl-NL"/>
              </w:rPr>
              <w:t>(</w:t>
            </w:r>
            <w:r w:rsidR="000F4B6F">
              <w:rPr>
                <w:rFonts w:cs="Arial"/>
                <w:sz w:val="20"/>
                <w:szCs w:val="20"/>
                <w:lang w:val="nl-NL"/>
              </w:rPr>
              <w:t>pays</w:t>
            </w:r>
            <w:r w:rsidRPr="00DD1C21">
              <w:rPr>
                <w:rFonts w:cs="Arial"/>
                <w:sz w:val="20"/>
                <w:szCs w:val="20"/>
                <w:lang w:val="nl-NL"/>
              </w:rPr>
              <w:t xml:space="preserve">) </w:t>
            </w:r>
          </w:p>
        </w:tc>
      </w:tr>
    </w:tbl>
    <w:p w14:paraId="0E1989B7" w14:textId="77777777" w:rsidR="00DD1C21" w:rsidRPr="00DD1C21" w:rsidRDefault="00DD1C21" w:rsidP="00DD1C21">
      <w:pPr>
        <w:snapToGrid w:val="0"/>
        <w:spacing w:line="240" w:lineRule="auto"/>
        <w:ind w:right="-1"/>
        <w:rPr>
          <w:rFonts w:cs="Arial"/>
          <w:sz w:val="20"/>
          <w:szCs w:val="20"/>
          <w:lang w:val="nl-NL"/>
        </w:rPr>
      </w:pPr>
    </w:p>
    <w:p w14:paraId="04C4F286" w14:textId="52C9D903" w:rsidR="00DD1C21" w:rsidRPr="002741C1" w:rsidRDefault="002741C1" w:rsidP="00DD1C21">
      <w:pPr>
        <w:snapToGrid w:val="0"/>
        <w:spacing w:line="240" w:lineRule="auto"/>
        <w:ind w:right="-1"/>
        <w:jc w:val="both"/>
        <w:rPr>
          <w:rFonts w:cs="Arial"/>
          <w:spacing w:val="-4"/>
          <w:sz w:val="20"/>
          <w:szCs w:val="20"/>
          <w:lang w:val="fr-BE"/>
        </w:rPr>
      </w:pPr>
      <w:r w:rsidRPr="002741C1">
        <w:rPr>
          <w:rFonts w:cs="Arial"/>
          <w:spacing w:val="-4"/>
          <w:sz w:val="20"/>
          <w:szCs w:val="20"/>
          <w:lang w:val="fr-BE"/>
        </w:rPr>
        <w:t xml:space="preserve">agissant comme soumissionnaire ou fondé de pouvoirs et signant ci-dessous, s’engage à exécuter, conformément aux conditions et dispositions du cahier spécial des </w:t>
      </w:r>
      <w:r w:rsidRPr="0019242C">
        <w:rPr>
          <w:rFonts w:cs="Arial"/>
          <w:spacing w:val="-4"/>
          <w:sz w:val="20"/>
          <w:szCs w:val="20"/>
          <w:lang w:val="fr-BE"/>
        </w:rPr>
        <w:t>charges n° S2/202</w:t>
      </w:r>
      <w:r w:rsidR="009C46B1" w:rsidRPr="0019242C">
        <w:rPr>
          <w:rFonts w:cs="Arial"/>
          <w:spacing w:val="-4"/>
          <w:sz w:val="20"/>
          <w:szCs w:val="20"/>
          <w:lang w:val="fr-BE"/>
        </w:rPr>
        <w:t>2</w:t>
      </w:r>
      <w:r w:rsidRPr="0019242C">
        <w:rPr>
          <w:rFonts w:cs="Arial"/>
          <w:spacing w:val="-4"/>
          <w:sz w:val="20"/>
          <w:szCs w:val="20"/>
          <w:lang w:val="fr-BE"/>
        </w:rPr>
        <w:t>/</w:t>
      </w:r>
      <w:r w:rsidR="009C46B1" w:rsidRPr="0019242C">
        <w:rPr>
          <w:rFonts w:cs="Arial"/>
          <w:spacing w:val="-4"/>
          <w:sz w:val="20"/>
          <w:szCs w:val="20"/>
          <w:lang w:val="fr-BE"/>
        </w:rPr>
        <w:t>03</w:t>
      </w:r>
      <w:r w:rsidRPr="0019242C">
        <w:rPr>
          <w:rFonts w:cs="Arial"/>
          <w:spacing w:val="-4"/>
          <w:sz w:val="20"/>
          <w:szCs w:val="20"/>
          <w:lang w:val="fr-BE"/>
        </w:rPr>
        <w:t>,</w:t>
      </w:r>
      <w:r w:rsidRPr="002741C1">
        <w:rPr>
          <w:rFonts w:cs="Arial"/>
          <w:spacing w:val="-4"/>
          <w:sz w:val="20"/>
          <w:szCs w:val="20"/>
          <w:lang w:val="fr-BE"/>
        </w:rPr>
        <w:t xml:space="preserve"> le service décrit ci-avant au présent document formant le </w:t>
      </w:r>
      <w:r w:rsidR="004F799C">
        <w:rPr>
          <w:rFonts w:cs="Arial"/>
          <w:spacing w:val="-4"/>
          <w:sz w:val="20"/>
          <w:szCs w:val="20"/>
          <w:lang w:val="fr-BE"/>
        </w:rPr>
        <w:t>lot unique</w:t>
      </w:r>
      <w:r w:rsidRPr="002741C1">
        <w:rPr>
          <w:rFonts w:cs="Arial"/>
          <w:spacing w:val="-4"/>
          <w:sz w:val="20"/>
          <w:szCs w:val="20"/>
          <w:lang w:val="fr-BE"/>
        </w:rPr>
        <w:t>, au prix global mentionné ci-après, indiqué en lettres et en chiffres, libellés en EURO, hors TVA, de:</w:t>
      </w:r>
    </w:p>
    <w:tbl>
      <w:tblPr>
        <w:tblW w:w="0" w:type="auto"/>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4A0" w:firstRow="1" w:lastRow="0" w:firstColumn="1" w:lastColumn="0" w:noHBand="0" w:noVBand="1"/>
      </w:tblPr>
      <w:tblGrid>
        <w:gridCol w:w="9211"/>
      </w:tblGrid>
      <w:tr w:rsidR="00DD1C21" w:rsidRPr="006A3299" w14:paraId="639B25E3" w14:textId="77777777">
        <w:tc>
          <w:tcPr>
            <w:tcW w:w="9211" w:type="dxa"/>
            <w:tcBorders>
              <w:top w:val="thickThinSmallGap" w:sz="24" w:space="0" w:color="auto"/>
              <w:left w:val="thickThinSmallGap" w:sz="24" w:space="0" w:color="auto"/>
              <w:bottom w:val="thinThickSmallGap" w:sz="24" w:space="0" w:color="auto"/>
              <w:right w:val="thinThickSmallGap" w:sz="24" w:space="0" w:color="auto"/>
            </w:tcBorders>
          </w:tcPr>
          <w:p w14:paraId="1298A545" w14:textId="77777777" w:rsidR="00DD1C21" w:rsidRPr="002741C1" w:rsidRDefault="00DD1C21" w:rsidP="00DD1C21">
            <w:pPr>
              <w:tabs>
                <w:tab w:val="center" w:pos="4513"/>
                <w:tab w:val="right" w:pos="9026"/>
              </w:tabs>
              <w:spacing w:after="0" w:line="360" w:lineRule="auto"/>
              <w:rPr>
                <w:snapToGrid w:val="0"/>
                <w:sz w:val="20"/>
                <w:szCs w:val="20"/>
                <w:lang w:val="fr-BE" w:eastAsia="fr-FR"/>
              </w:rPr>
            </w:pPr>
          </w:p>
          <w:p w14:paraId="05091073" w14:textId="77777777" w:rsidR="00DD1C21" w:rsidRPr="002741C1" w:rsidRDefault="00DD1C21" w:rsidP="00DD1C21">
            <w:pPr>
              <w:tabs>
                <w:tab w:val="center" w:pos="4513"/>
                <w:tab w:val="right" w:pos="9026"/>
              </w:tabs>
              <w:spacing w:after="0" w:line="360" w:lineRule="auto"/>
              <w:rPr>
                <w:snapToGrid w:val="0"/>
                <w:sz w:val="20"/>
                <w:szCs w:val="20"/>
                <w:lang w:val="fr-BE" w:eastAsia="fr-FR"/>
              </w:rPr>
            </w:pPr>
          </w:p>
          <w:p w14:paraId="47C8D116" w14:textId="77777777" w:rsidR="00DD1C21" w:rsidRPr="002741C1" w:rsidRDefault="00DD1C21" w:rsidP="00DD1C21">
            <w:pPr>
              <w:tabs>
                <w:tab w:val="center" w:pos="4513"/>
                <w:tab w:val="right" w:pos="9026"/>
              </w:tabs>
              <w:spacing w:after="0" w:line="360" w:lineRule="auto"/>
              <w:rPr>
                <w:snapToGrid w:val="0"/>
                <w:sz w:val="20"/>
                <w:szCs w:val="20"/>
                <w:lang w:val="fr-BE" w:eastAsia="fr-FR"/>
              </w:rPr>
            </w:pPr>
          </w:p>
          <w:p w14:paraId="7E0A1381" w14:textId="74C624FA" w:rsidR="00DD1C21" w:rsidRPr="00926C15" w:rsidRDefault="00DD1C21" w:rsidP="00DD1C21">
            <w:pPr>
              <w:tabs>
                <w:tab w:val="center" w:pos="4513"/>
                <w:tab w:val="right" w:pos="9026"/>
              </w:tabs>
              <w:spacing w:after="0" w:line="360" w:lineRule="auto"/>
              <w:rPr>
                <w:snapToGrid w:val="0"/>
                <w:sz w:val="20"/>
                <w:szCs w:val="20"/>
                <w:lang w:val="fr-BE" w:eastAsia="fr-FR"/>
              </w:rPr>
            </w:pPr>
            <w:r w:rsidRPr="00DD1C21">
              <w:rPr>
                <w:rFonts w:ascii="Symbol" w:eastAsia="Symbol" w:hAnsi="Symbol" w:cs="Symbol"/>
                <w:snapToGrid w:val="0"/>
                <w:sz w:val="20"/>
                <w:szCs w:val="20"/>
                <w:lang w:val="nl-NL" w:eastAsia="fr-FR"/>
              </w:rPr>
              <w:t>[</w:t>
            </w:r>
            <w:r w:rsidR="002741C1" w:rsidRPr="00926C15">
              <w:rPr>
                <w:snapToGrid w:val="0"/>
                <w:sz w:val="20"/>
                <w:szCs w:val="20"/>
                <w:lang w:val="fr-BE" w:eastAsia="fr-FR"/>
              </w:rPr>
              <w:t xml:space="preserve">en lettres et en chiffres en </w:t>
            </w:r>
            <w:r w:rsidRPr="00926C15">
              <w:rPr>
                <w:snapToGrid w:val="0"/>
                <w:sz w:val="20"/>
                <w:szCs w:val="20"/>
                <w:lang w:val="fr-BE" w:eastAsia="fr-FR"/>
              </w:rPr>
              <w:t>EURO</w:t>
            </w:r>
            <w:r w:rsidRPr="00DD1C21">
              <w:rPr>
                <w:rFonts w:ascii="Symbol" w:eastAsia="Symbol" w:hAnsi="Symbol" w:cs="Symbol"/>
                <w:snapToGrid w:val="0"/>
                <w:sz w:val="20"/>
                <w:szCs w:val="20"/>
                <w:lang w:val="nl-NL" w:eastAsia="fr-FR"/>
              </w:rPr>
              <w:t>]</w:t>
            </w:r>
          </w:p>
        </w:tc>
      </w:tr>
    </w:tbl>
    <w:p w14:paraId="52095034" w14:textId="77777777" w:rsidR="00DD1C21" w:rsidRPr="00926C15" w:rsidRDefault="00DD1C21" w:rsidP="00DD1C21">
      <w:pPr>
        <w:snapToGrid w:val="0"/>
        <w:spacing w:line="360" w:lineRule="auto"/>
        <w:rPr>
          <w:rFonts w:cs="Arial"/>
          <w:sz w:val="20"/>
          <w:szCs w:val="20"/>
          <w:lang w:val="fr-BE"/>
        </w:rPr>
      </w:pPr>
    </w:p>
    <w:p w14:paraId="4A56B375" w14:textId="59CE1298" w:rsidR="00DD1C21" w:rsidRPr="00926C15" w:rsidRDefault="00926C15" w:rsidP="00DD1C21">
      <w:pPr>
        <w:snapToGrid w:val="0"/>
        <w:spacing w:line="360" w:lineRule="auto"/>
        <w:rPr>
          <w:rFonts w:cs="Arial"/>
          <w:sz w:val="20"/>
          <w:szCs w:val="20"/>
          <w:lang w:val="fr-BE"/>
        </w:rPr>
      </w:pPr>
      <w:r w:rsidRPr="00926C15">
        <w:rPr>
          <w:rFonts w:cs="Arial"/>
          <w:sz w:val="20"/>
          <w:szCs w:val="20"/>
          <w:lang w:val="fr-BE"/>
        </w:rPr>
        <w:t xml:space="preserve">auquel doit être ajoutée la TVA, soit un montant de </w:t>
      </w:r>
      <w:r w:rsidR="00DD1C21" w:rsidRPr="00926C15">
        <w:rPr>
          <w:rFonts w:cs="Arial"/>
          <w:sz w:val="20"/>
          <w:szCs w:val="20"/>
          <w:lang w:val="fr-BE"/>
        </w:rPr>
        <w:t>:</w:t>
      </w:r>
    </w:p>
    <w:tbl>
      <w:tblPr>
        <w:tblW w:w="0" w:type="auto"/>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4A0" w:firstRow="1" w:lastRow="0" w:firstColumn="1" w:lastColumn="0" w:noHBand="0" w:noVBand="1"/>
      </w:tblPr>
      <w:tblGrid>
        <w:gridCol w:w="9211"/>
      </w:tblGrid>
      <w:tr w:rsidR="00DD1C21" w:rsidRPr="006A3299" w14:paraId="5FAA28B7" w14:textId="77777777">
        <w:tc>
          <w:tcPr>
            <w:tcW w:w="9211" w:type="dxa"/>
            <w:tcBorders>
              <w:top w:val="thickThinSmallGap" w:sz="24" w:space="0" w:color="auto"/>
              <w:left w:val="thickThinSmallGap" w:sz="24" w:space="0" w:color="auto"/>
              <w:bottom w:val="thinThickSmallGap" w:sz="24" w:space="0" w:color="auto"/>
              <w:right w:val="thinThickSmallGap" w:sz="24" w:space="0" w:color="auto"/>
            </w:tcBorders>
          </w:tcPr>
          <w:p w14:paraId="7B2F5DCD" w14:textId="77777777" w:rsidR="00DD1C21" w:rsidRPr="00926C15" w:rsidRDefault="00DD1C21" w:rsidP="00DD1C21">
            <w:pPr>
              <w:tabs>
                <w:tab w:val="center" w:pos="4513"/>
                <w:tab w:val="right" w:pos="9026"/>
              </w:tabs>
              <w:spacing w:after="0" w:line="360" w:lineRule="auto"/>
              <w:rPr>
                <w:snapToGrid w:val="0"/>
                <w:sz w:val="20"/>
                <w:szCs w:val="20"/>
                <w:lang w:val="fr-BE" w:eastAsia="fr-FR"/>
              </w:rPr>
            </w:pPr>
          </w:p>
          <w:p w14:paraId="632E7A8E" w14:textId="77777777" w:rsidR="00DD1C21" w:rsidRPr="00926C15" w:rsidRDefault="00DD1C21" w:rsidP="00DD1C21">
            <w:pPr>
              <w:tabs>
                <w:tab w:val="center" w:pos="4513"/>
                <w:tab w:val="right" w:pos="9026"/>
              </w:tabs>
              <w:spacing w:after="0" w:line="360" w:lineRule="auto"/>
              <w:rPr>
                <w:snapToGrid w:val="0"/>
                <w:sz w:val="20"/>
                <w:szCs w:val="20"/>
                <w:lang w:val="fr-BE" w:eastAsia="fr-FR"/>
              </w:rPr>
            </w:pPr>
          </w:p>
          <w:p w14:paraId="092087CF" w14:textId="77777777" w:rsidR="00DD1C21" w:rsidRPr="00926C15" w:rsidRDefault="00DD1C21" w:rsidP="00DD1C21">
            <w:pPr>
              <w:tabs>
                <w:tab w:val="center" w:pos="4513"/>
                <w:tab w:val="right" w:pos="9026"/>
              </w:tabs>
              <w:spacing w:after="0" w:line="360" w:lineRule="auto"/>
              <w:rPr>
                <w:snapToGrid w:val="0"/>
                <w:sz w:val="20"/>
                <w:szCs w:val="20"/>
                <w:lang w:val="fr-BE" w:eastAsia="fr-FR"/>
              </w:rPr>
            </w:pPr>
          </w:p>
          <w:p w14:paraId="4006CB18" w14:textId="679A5798" w:rsidR="00DD1C21" w:rsidRPr="00926C15" w:rsidRDefault="00DD1C21" w:rsidP="00DD1C21">
            <w:pPr>
              <w:tabs>
                <w:tab w:val="center" w:pos="4513"/>
                <w:tab w:val="right" w:pos="9026"/>
              </w:tabs>
              <w:spacing w:after="0" w:line="360" w:lineRule="auto"/>
              <w:rPr>
                <w:snapToGrid w:val="0"/>
                <w:sz w:val="20"/>
                <w:szCs w:val="20"/>
                <w:lang w:val="fr-BE" w:eastAsia="fr-FR"/>
              </w:rPr>
            </w:pPr>
            <w:r w:rsidRPr="00DD1C21">
              <w:rPr>
                <w:rFonts w:ascii="Symbol" w:eastAsia="Symbol" w:hAnsi="Symbol" w:cs="Symbol"/>
                <w:snapToGrid w:val="0"/>
                <w:sz w:val="20"/>
                <w:szCs w:val="20"/>
                <w:lang w:val="nl-NL" w:eastAsia="fr-FR"/>
              </w:rPr>
              <w:t>[</w:t>
            </w:r>
            <w:r w:rsidR="00926C15" w:rsidRPr="00926C15">
              <w:rPr>
                <w:snapToGrid w:val="0"/>
                <w:sz w:val="20"/>
                <w:szCs w:val="20"/>
                <w:lang w:val="fr-BE" w:eastAsia="fr-FR"/>
              </w:rPr>
              <w:t xml:space="preserve">en lettres et en chiffres en </w:t>
            </w:r>
            <w:r w:rsidRPr="00926C15">
              <w:rPr>
                <w:snapToGrid w:val="0"/>
                <w:sz w:val="20"/>
                <w:szCs w:val="20"/>
                <w:lang w:val="fr-BE" w:eastAsia="fr-FR"/>
              </w:rPr>
              <w:t>EURO</w:t>
            </w:r>
            <w:r w:rsidRPr="00DD1C21">
              <w:rPr>
                <w:rFonts w:ascii="Symbol" w:eastAsia="Symbol" w:hAnsi="Symbol" w:cs="Symbol"/>
                <w:snapToGrid w:val="0"/>
                <w:sz w:val="20"/>
                <w:szCs w:val="20"/>
                <w:lang w:val="nl-NL" w:eastAsia="fr-FR"/>
              </w:rPr>
              <w:t>]</w:t>
            </w:r>
          </w:p>
        </w:tc>
      </w:tr>
    </w:tbl>
    <w:p w14:paraId="1DE8DBE2" w14:textId="77777777" w:rsidR="00DD1C21" w:rsidRPr="00926C15" w:rsidRDefault="00DD1C21" w:rsidP="00DD1C21">
      <w:pPr>
        <w:snapToGrid w:val="0"/>
        <w:spacing w:line="360" w:lineRule="auto"/>
        <w:rPr>
          <w:rFonts w:cs="Arial"/>
          <w:sz w:val="20"/>
          <w:szCs w:val="20"/>
          <w:lang w:val="fr-BE"/>
        </w:rPr>
      </w:pPr>
    </w:p>
    <w:p w14:paraId="09483A0E" w14:textId="791F0022" w:rsidR="00DD1C21" w:rsidRPr="00926C15" w:rsidRDefault="00926C15" w:rsidP="00DD1C21">
      <w:pPr>
        <w:snapToGrid w:val="0"/>
        <w:spacing w:line="360" w:lineRule="auto"/>
        <w:rPr>
          <w:rFonts w:cs="Arial"/>
          <w:sz w:val="20"/>
          <w:szCs w:val="20"/>
          <w:lang w:val="fr-BE"/>
        </w:rPr>
      </w:pPr>
      <w:r w:rsidRPr="0019242C">
        <w:rPr>
          <w:rFonts w:cs="Arial"/>
          <w:sz w:val="20"/>
          <w:szCs w:val="20"/>
          <w:lang w:val="fr-BE"/>
        </w:rPr>
        <w:t>soit un montant global, TVA comprise, de</w:t>
      </w:r>
      <w:r w:rsidRPr="00926C15">
        <w:rPr>
          <w:rFonts w:cs="Arial"/>
          <w:sz w:val="20"/>
          <w:szCs w:val="20"/>
          <w:lang w:val="fr-BE"/>
        </w:rPr>
        <w:t xml:space="preserve"> </w:t>
      </w:r>
      <w:r w:rsidR="00DD1C21" w:rsidRPr="00926C15">
        <w:rPr>
          <w:rFonts w:cs="Arial"/>
          <w:sz w:val="20"/>
          <w:szCs w:val="20"/>
          <w:lang w:val="fr-BE"/>
        </w:rPr>
        <w:t>:</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4A0" w:firstRow="1" w:lastRow="0" w:firstColumn="1" w:lastColumn="0" w:noHBand="0" w:noVBand="1"/>
      </w:tblPr>
      <w:tblGrid>
        <w:gridCol w:w="9211"/>
      </w:tblGrid>
      <w:tr w:rsidR="00DD1C21" w:rsidRPr="006A3299" w14:paraId="4D77AA36" w14:textId="77777777" w:rsidTr="004F799C">
        <w:tc>
          <w:tcPr>
            <w:tcW w:w="9211" w:type="dxa"/>
            <w:tcBorders>
              <w:top w:val="thickThinSmallGap" w:sz="24" w:space="0" w:color="auto"/>
              <w:left w:val="thickThinSmallGap" w:sz="24" w:space="0" w:color="auto"/>
              <w:bottom w:val="thinThickSmallGap" w:sz="24" w:space="0" w:color="auto"/>
              <w:right w:val="thinThickSmallGap" w:sz="24" w:space="0" w:color="auto"/>
            </w:tcBorders>
          </w:tcPr>
          <w:p w14:paraId="32E7F378" w14:textId="77777777" w:rsidR="00DD1C21" w:rsidRPr="00926C15" w:rsidRDefault="00DD1C21" w:rsidP="00DD1C21">
            <w:pPr>
              <w:tabs>
                <w:tab w:val="center" w:pos="4513"/>
                <w:tab w:val="right" w:pos="9026"/>
              </w:tabs>
              <w:spacing w:after="0" w:line="360" w:lineRule="auto"/>
              <w:rPr>
                <w:snapToGrid w:val="0"/>
                <w:sz w:val="20"/>
                <w:szCs w:val="20"/>
                <w:lang w:val="fr-BE" w:eastAsia="fr-FR"/>
              </w:rPr>
            </w:pPr>
          </w:p>
          <w:p w14:paraId="077407E8" w14:textId="77777777" w:rsidR="00DD1C21" w:rsidRPr="00926C15" w:rsidRDefault="00DD1C21" w:rsidP="00DD1C21">
            <w:pPr>
              <w:tabs>
                <w:tab w:val="center" w:pos="4513"/>
                <w:tab w:val="right" w:pos="9026"/>
              </w:tabs>
              <w:spacing w:after="0" w:line="360" w:lineRule="auto"/>
              <w:rPr>
                <w:snapToGrid w:val="0"/>
                <w:sz w:val="20"/>
                <w:szCs w:val="20"/>
                <w:lang w:val="fr-BE" w:eastAsia="fr-FR"/>
              </w:rPr>
            </w:pPr>
          </w:p>
          <w:p w14:paraId="0960036F" w14:textId="77777777" w:rsidR="00DD1C21" w:rsidRPr="00926C15" w:rsidRDefault="00DD1C21" w:rsidP="00DD1C21">
            <w:pPr>
              <w:tabs>
                <w:tab w:val="center" w:pos="4513"/>
                <w:tab w:val="right" w:pos="9026"/>
              </w:tabs>
              <w:spacing w:after="0" w:line="360" w:lineRule="auto"/>
              <w:rPr>
                <w:snapToGrid w:val="0"/>
                <w:sz w:val="20"/>
                <w:szCs w:val="20"/>
                <w:lang w:val="fr-BE" w:eastAsia="fr-FR"/>
              </w:rPr>
            </w:pPr>
          </w:p>
          <w:p w14:paraId="43707CFC" w14:textId="1A7A8810" w:rsidR="00DD1C21" w:rsidRPr="00980A0E" w:rsidRDefault="00DD1C21" w:rsidP="00DD1C21">
            <w:pPr>
              <w:tabs>
                <w:tab w:val="center" w:pos="4513"/>
                <w:tab w:val="right" w:pos="9026"/>
              </w:tabs>
              <w:spacing w:after="0" w:line="360" w:lineRule="auto"/>
              <w:rPr>
                <w:snapToGrid w:val="0"/>
                <w:sz w:val="20"/>
                <w:szCs w:val="20"/>
                <w:lang w:val="fr-BE" w:eastAsia="fr-FR"/>
              </w:rPr>
            </w:pPr>
            <w:r w:rsidRPr="00DD1C21">
              <w:rPr>
                <w:rFonts w:ascii="Symbol" w:eastAsia="Symbol" w:hAnsi="Symbol" w:cs="Symbol"/>
                <w:snapToGrid w:val="0"/>
                <w:sz w:val="20"/>
                <w:szCs w:val="20"/>
                <w:lang w:val="nl-NL" w:eastAsia="fr-FR"/>
              </w:rPr>
              <w:t>[</w:t>
            </w:r>
            <w:r w:rsidR="00926C15" w:rsidRPr="00980A0E">
              <w:rPr>
                <w:snapToGrid w:val="0"/>
                <w:sz w:val="20"/>
                <w:szCs w:val="20"/>
                <w:lang w:val="fr-BE" w:eastAsia="fr-FR"/>
              </w:rPr>
              <w:t xml:space="preserve">en lettres et en chiffres en </w:t>
            </w:r>
            <w:r w:rsidRPr="00980A0E">
              <w:rPr>
                <w:snapToGrid w:val="0"/>
                <w:sz w:val="20"/>
                <w:szCs w:val="20"/>
                <w:lang w:val="fr-BE" w:eastAsia="fr-FR"/>
              </w:rPr>
              <w:t>EURO</w:t>
            </w:r>
            <w:r w:rsidRPr="00DD1C21">
              <w:rPr>
                <w:rFonts w:ascii="Symbol" w:eastAsia="Symbol" w:hAnsi="Symbol" w:cs="Symbol"/>
                <w:snapToGrid w:val="0"/>
                <w:sz w:val="20"/>
                <w:szCs w:val="20"/>
                <w:lang w:val="nl-NL" w:eastAsia="fr-FR"/>
              </w:rPr>
              <w:t>]</w:t>
            </w:r>
          </w:p>
        </w:tc>
      </w:tr>
    </w:tbl>
    <w:p w14:paraId="060C8956" w14:textId="77777777" w:rsidR="004F799C" w:rsidRPr="004F799C" w:rsidRDefault="004F799C" w:rsidP="004F799C">
      <w:pPr>
        <w:snapToGrid w:val="0"/>
        <w:spacing w:line="240" w:lineRule="auto"/>
        <w:ind w:right="-1"/>
        <w:jc w:val="both"/>
        <w:rPr>
          <w:rFonts w:cs="Arial"/>
          <w:sz w:val="20"/>
          <w:szCs w:val="20"/>
          <w:lang w:val="fr-BE"/>
        </w:rPr>
      </w:pPr>
      <w:r w:rsidRPr="004F799C">
        <w:rPr>
          <w:rFonts w:cs="Arial"/>
          <w:sz w:val="20"/>
          <w:szCs w:val="20"/>
          <w:lang w:val="fr-BE"/>
        </w:rPr>
        <w:t>En cas d’approbation de la présente offre, le cautionnement sera constitué dans les conditions et délais prescrits dans le cahier spécial des charges.</w:t>
      </w:r>
    </w:p>
    <w:p w14:paraId="29FD561A" w14:textId="77777777" w:rsidR="004F799C" w:rsidRPr="004F799C" w:rsidRDefault="004F799C" w:rsidP="004F799C">
      <w:pPr>
        <w:snapToGrid w:val="0"/>
        <w:spacing w:line="240" w:lineRule="auto"/>
        <w:ind w:right="-1"/>
        <w:jc w:val="both"/>
        <w:rPr>
          <w:rFonts w:cs="Arial"/>
          <w:sz w:val="20"/>
          <w:szCs w:val="20"/>
          <w:lang w:val="fr-BE"/>
        </w:rPr>
      </w:pPr>
      <w:r w:rsidRPr="004F799C">
        <w:rPr>
          <w:rFonts w:cs="Arial"/>
          <w:sz w:val="20"/>
          <w:szCs w:val="20"/>
          <w:lang w:val="fr-BE"/>
        </w:rPr>
        <w:t>L’information confidentielle et/ou l’information qui se rapporte à des secrets techniques ou commerciaux est clairement indiquée dans l’offre.</w:t>
      </w:r>
    </w:p>
    <w:p w14:paraId="72F5C595" w14:textId="23AABC4D" w:rsidR="00DD1C21" w:rsidRPr="004F799C" w:rsidRDefault="004F799C" w:rsidP="004F799C">
      <w:pPr>
        <w:snapToGrid w:val="0"/>
        <w:spacing w:line="240" w:lineRule="auto"/>
        <w:ind w:right="-1"/>
        <w:jc w:val="both"/>
        <w:rPr>
          <w:rFonts w:cs="Arial"/>
          <w:sz w:val="20"/>
          <w:szCs w:val="20"/>
          <w:lang w:val="fr-BE"/>
        </w:rPr>
      </w:pPr>
      <w:r w:rsidRPr="004F799C">
        <w:rPr>
          <w:rFonts w:cs="Arial"/>
          <w:sz w:val="20"/>
          <w:szCs w:val="20"/>
          <w:lang w:val="fr-BE"/>
        </w:rPr>
        <w:t xml:space="preserve">Les sommes dues seront payées par l’organisme de paiement du pouvoir adjudicateur par virement ou versement sur </w:t>
      </w:r>
      <w:r w:rsidR="00AE76BF">
        <w:rPr>
          <w:rFonts w:cs="Arial"/>
          <w:sz w:val="20"/>
          <w:szCs w:val="20"/>
          <w:lang w:val="fr-BE"/>
        </w:rPr>
        <w:t>le compte numéro</w:t>
      </w:r>
      <w:r w:rsidRPr="004F799C">
        <w:rPr>
          <w:rFonts w:cs="Arial"/>
          <w:sz w:val="20"/>
          <w:szCs w:val="20"/>
          <w:lang w:val="fr-BE"/>
        </w:rPr>
        <w:t>:</w:t>
      </w:r>
    </w:p>
    <w:tbl>
      <w:tblPr>
        <w:tblW w:w="0" w:type="auto"/>
        <w:tblLayout w:type="fixed"/>
        <w:tblCellMar>
          <w:left w:w="70" w:type="dxa"/>
          <w:right w:w="70" w:type="dxa"/>
        </w:tblCellMar>
        <w:tblLook w:val="04A0" w:firstRow="1" w:lastRow="0" w:firstColumn="1" w:lastColumn="0" w:noHBand="0" w:noVBand="1"/>
      </w:tblPr>
      <w:tblGrid>
        <w:gridCol w:w="2622"/>
        <w:gridCol w:w="6520"/>
      </w:tblGrid>
      <w:tr w:rsidR="00DD1C21" w:rsidRPr="00DD1C21" w14:paraId="52EA158B" w14:textId="77777777">
        <w:tc>
          <w:tcPr>
            <w:tcW w:w="2622" w:type="dxa"/>
          </w:tcPr>
          <w:p w14:paraId="5CB73BEE" w14:textId="70AF3D1F" w:rsidR="00DD1C21" w:rsidRPr="00DD1C21" w:rsidRDefault="00DD1C21" w:rsidP="001F79B1">
            <w:pPr>
              <w:snapToGrid w:val="0"/>
              <w:spacing w:line="360" w:lineRule="auto"/>
              <w:jc w:val="both"/>
              <w:rPr>
                <w:rFonts w:cs="Arial"/>
                <w:sz w:val="20"/>
                <w:szCs w:val="20"/>
                <w:lang w:val="nl-NL"/>
              </w:rPr>
            </w:pPr>
            <w:r w:rsidRPr="00DD1C21">
              <w:rPr>
                <w:rFonts w:cs="Arial"/>
                <w:sz w:val="20"/>
                <w:szCs w:val="20"/>
                <w:lang w:val="nl-NL"/>
              </w:rPr>
              <w:t>IBAN</w:t>
            </w:r>
          </w:p>
          <w:p w14:paraId="7C82F9BE" w14:textId="77777777" w:rsidR="00DD1C21" w:rsidRPr="00DD1C21" w:rsidRDefault="00DD1C21" w:rsidP="001F79B1">
            <w:pPr>
              <w:snapToGrid w:val="0"/>
              <w:spacing w:line="360" w:lineRule="auto"/>
              <w:jc w:val="both"/>
              <w:rPr>
                <w:rFonts w:cs="Arial"/>
                <w:sz w:val="20"/>
                <w:szCs w:val="20"/>
                <w:lang w:val="nl-NL"/>
              </w:rPr>
            </w:pPr>
            <w:r w:rsidRPr="00DD1C21">
              <w:rPr>
                <w:rFonts w:cs="Arial"/>
                <w:sz w:val="20"/>
                <w:szCs w:val="20"/>
                <w:lang w:val="nl-NL"/>
              </w:rPr>
              <w:t>BIC</w:t>
            </w:r>
          </w:p>
        </w:tc>
        <w:tc>
          <w:tcPr>
            <w:tcW w:w="6520" w:type="dxa"/>
            <w:tcBorders>
              <w:top w:val="single" w:sz="6" w:space="0" w:color="auto"/>
              <w:left w:val="single" w:sz="6" w:space="0" w:color="auto"/>
              <w:bottom w:val="single" w:sz="6" w:space="0" w:color="auto"/>
              <w:right w:val="single" w:sz="6" w:space="0" w:color="auto"/>
            </w:tcBorders>
          </w:tcPr>
          <w:p w14:paraId="47B3D786" w14:textId="77777777" w:rsidR="00DD1C21" w:rsidRPr="00DD1C21" w:rsidRDefault="00DD1C21" w:rsidP="00DD1C21">
            <w:pPr>
              <w:snapToGrid w:val="0"/>
              <w:spacing w:line="360" w:lineRule="auto"/>
              <w:rPr>
                <w:rFonts w:cs="Arial"/>
                <w:sz w:val="20"/>
                <w:szCs w:val="20"/>
                <w:lang w:val="nl-NL"/>
              </w:rPr>
            </w:pPr>
          </w:p>
          <w:p w14:paraId="595FFFED" w14:textId="77777777" w:rsidR="00DD1C21" w:rsidRPr="00DD1C21" w:rsidRDefault="00DD1C21" w:rsidP="00DD1C21">
            <w:pPr>
              <w:snapToGrid w:val="0"/>
              <w:spacing w:line="360" w:lineRule="auto"/>
              <w:rPr>
                <w:rFonts w:cs="Arial"/>
                <w:sz w:val="20"/>
                <w:szCs w:val="20"/>
                <w:lang w:val="nl-NL"/>
              </w:rPr>
            </w:pPr>
          </w:p>
        </w:tc>
      </w:tr>
    </w:tbl>
    <w:p w14:paraId="7949454B" w14:textId="77777777" w:rsidR="00DD1C21" w:rsidRPr="00DD1C21" w:rsidRDefault="00DD1C21" w:rsidP="00DD1C21">
      <w:pPr>
        <w:snapToGrid w:val="0"/>
        <w:spacing w:line="360" w:lineRule="auto"/>
        <w:ind w:right="-1"/>
        <w:rPr>
          <w:rFonts w:cs="Arial"/>
          <w:sz w:val="20"/>
          <w:szCs w:val="20"/>
          <w:lang w:val="nl-NL"/>
        </w:rPr>
      </w:pPr>
    </w:p>
    <w:tbl>
      <w:tblPr>
        <w:tblW w:w="0" w:type="auto"/>
        <w:tblLayout w:type="fixed"/>
        <w:tblCellMar>
          <w:left w:w="71" w:type="dxa"/>
          <w:right w:w="71" w:type="dxa"/>
        </w:tblCellMar>
        <w:tblLook w:val="04A0" w:firstRow="1" w:lastRow="0" w:firstColumn="1" w:lastColumn="0" w:noHBand="0" w:noVBand="1"/>
      </w:tblPr>
      <w:tblGrid>
        <w:gridCol w:w="2623"/>
        <w:gridCol w:w="2693"/>
        <w:gridCol w:w="3827"/>
      </w:tblGrid>
      <w:tr w:rsidR="00DD1C21" w:rsidRPr="006A3299" w14:paraId="51A8F276" w14:textId="77777777">
        <w:trPr>
          <w:trHeight w:val="320"/>
        </w:trPr>
        <w:tc>
          <w:tcPr>
            <w:tcW w:w="2623" w:type="dxa"/>
            <w:hideMark/>
          </w:tcPr>
          <w:p w14:paraId="0AF4393F" w14:textId="0DEE59F1" w:rsidR="00DD1C21" w:rsidRPr="00DD1C21" w:rsidRDefault="00C81787" w:rsidP="001F79B1">
            <w:pPr>
              <w:snapToGrid w:val="0"/>
              <w:spacing w:line="360" w:lineRule="auto"/>
              <w:jc w:val="both"/>
              <w:rPr>
                <w:rFonts w:cs="Arial"/>
                <w:sz w:val="20"/>
                <w:szCs w:val="20"/>
                <w:lang w:val="nl-NL"/>
              </w:rPr>
            </w:pPr>
            <w:r>
              <w:rPr>
                <w:rFonts w:cs="Arial"/>
                <w:sz w:val="20"/>
                <w:szCs w:val="20"/>
                <w:lang w:val="nl-NL"/>
              </w:rPr>
              <w:t>La langue</w:t>
            </w:r>
          </w:p>
        </w:tc>
        <w:tc>
          <w:tcPr>
            <w:tcW w:w="2693" w:type="dxa"/>
            <w:tcBorders>
              <w:top w:val="single" w:sz="6" w:space="0" w:color="auto"/>
              <w:left w:val="single" w:sz="6" w:space="0" w:color="auto"/>
              <w:bottom w:val="single" w:sz="6" w:space="0" w:color="auto"/>
              <w:right w:val="single" w:sz="6" w:space="0" w:color="auto"/>
            </w:tcBorders>
          </w:tcPr>
          <w:p w14:paraId="5644E80C" w14:textId="05C8AB01" w:rsidR="00DD1C21" w:rsidRPr="00DD1C21" w:rsidRDefault="00C81787" w:rsidP="00DD1C21">
            <w:pPr>
              <w:snapToGrid w:val="0"/>
              <w:spacing w:line="360" w:lineRule="auto"/>
              <w:rPr>
                <w:rFonts w:cs="Arial"/>
                <w:sz w:val="20"/>
                <w:szCs w:val="20"/>
                <w:lang w:val="nl-NL"/>
              </w:rPr>
            </w:pPr>
            <w:r>
              <w:rPr>
                <w:rFonts w:cs="Arial"/>
                <w:sz w:val="20"/>
                <w:szCs w:val="20"/>
                <w:lang w:val="nl-NL"/>
              </w:rPr>
              <w:t>néerlandaise/française</w:t>
            </w:r>
            <w:r w:rsidR="00DD1C21" w:rsidRPr="00DD1C21">
              <w:rPr>
                <w:rFonts w:cs="Arial"/>
                <w:sz w:val="20"/>
                <w:szCs w:val="20"/>
                <w:vertAlign w:val="superscript"/>
                <w:lang w:val="nl-NL"/>
              </w:rPr>
              <w:footnoteReference w:id="10"/>
            </w:r>
          </w:p>
        </w:tc>
        <w:tc>
          <w:tcPr>
            <w:tcW w:w="3827" w:type="dxa"/>
            <w:hideMark/>
          </w:tcPr>
          <w:p w14:paraId="2C86FD1C" w14:textId="0F346599" w:rsidR="00DD1C21" w:rsidRPr="00C81787" w:rsidRDefault="00C81787" w:rsidP="001F79B1">
            <w:pPr>
              <w:snapToGrid w:val="0"/>
              <w:spacing w:line="240" w:lineRule="auto"/>
              <w:ind w:left="72" w:hanging="72"/>
              <w:jc w:val="both"/>
              <w:rPr>
                <w:rFonts w:cs="Arial"/>
                <w:sz w:val="20"/>
                <w:szCs w:val="20"/>
                <w:lang w:val="fr-BE"/>
              </w:rPr>
            </w:pPr>
            <w:r w:rsidRPr="00C81787">
              <w:rPr>
                <w:rFonts w:cs="Arial"/>
                <w:sz w:val="20"/>
                <w:szCs w:val="20"/>
                <w:lang w:val="fr-BE"/>
              </w:rPr>
              <w:t>est choisie pour l’interprétation du contrat.</w:t>
            </w:r>
          </w:p>
        </w:tc>
      </w:tr>
    </w:tbl>
    <w:p w14:paraId="596A8A28" w14:textId="77777777" w:rsidR="00DD1C21" w:rsidRPr="00C81787" w:rsidRDefault="00DD1C21" w:rsidP="00DD1C21">
      <w:pPr>
        <w:snapToGrid w:val="0"/>
        <w:spacing w:line="360" w:lineRule="auto"/>
        <w:ind w:right="-1"/>
        <w:rPr>
          <w:rFonts w:cs="Arial"/>
          <w:sz w:val="20"/>
          <w:szCs w:val="20"/>
          <w:lang w:val="fr-BE"/>
        </w:rPr>
      </w:pPr>
    </w:p>
    <w:p w14:paraId="674312F2" w14:textId="3D8F1146" w:rsidR="00DD1C21" w:rsidRPr="00FD16E3" w:rsidRDefault="00FD16E3" w:rsidP="001F79B1">
      <w:pPr>
        <w:snapToGrid w:val="0"/>
        <w:spacing w:line="360" w:lineRule="auto"/>
        <w:ind w:right="-1"/>
        <w:jc w:val="both"/>
        <w:rPr>
          <w:rFonts w:cs="Arial"/>
          <w:sz w:val="20"/>
          <w:szCs w:val="20"/>
          <w:lang w:val="fr-BE"/>
        </w:rPr>
      </w:pPr>
      <w:r w:rsidRPr="00FD16E3">
        <w:rPr>
          <w:rFonts w:cs="Arial"/>
          <w:sz w:val="20"/>
          <w:szCs w:val="20"/>
          <w:lang w:val="fr-BE"/>
        </w:rPr>
        <w:t>Toute correspondance concernant l’exécution du marché doit être envoyée à l’adresse suivante</w:t>
      </w:r>
      <w:r>
        <w:rPr>
          <w:rFonts w:cs="Arial"/>
          <w:sz w:val="20"/>
          <w:szCs w:val="20"/>
          <w:lang w:val="fr-BE"/>
        </w:rPr>
        <w:t xml:space="preserve"> </w:t>
      </w:r>
      <w:r w:rsidRPr="00FD16E3">
        <w:rPr>
          <w:rFonts w:cs="Arial"/>
          <w:sz w:val="20"/>
          <w:szCs w:val="20"/>
          <w:lang w:val="fr-BE"/>
        </w:rPr>
        <w:t>:</w:t>
      </w:r>
    </w:p>
    <w:tbl>
      <w:tblPr>
        <w:tblW w:w="0" w:type="auto"/>
        <w:tblLayout w:type="fixed"/>
        <w:tblCellMar>
          <w:left w:w="70" w:type="dxa"/>
          <w:right w:w="70" w:type="dxa"/>
        </w:tblCellMar>
        <w:tblLook w:val="04A0" w:firstRow="1" w:lastRow="0" w:firstColumn="1" w:lastColumn="0" w:noHBand="0" w:noVBand="1"/>
      </w:tblPr>
      <w:tblGrid>
        <w:gridCol w:w="9211"/>
      </w:tblGrid>
      <w:tr w:rsidR="00DD1C21" w:rsidRPr="00FD16E3" w14:paraId="2577CFDC" w14:textId="77777777">
        <w:tc>
          <w:tcPr>
            <w:tcW w:w="9211" w:type="dxa"/>
            <w:tcBorders>
              <w:top w:val="single" w:sz="6" w:space="0" w:color="auto"/>
              <w:left w:val="single" w:sz="6" w:space="0" w:color="auto"/>
              <w:bottom w:val="single" w:sz="6" w:space="0" w:color="auto"/>
              <w:right w:val="single" w:sz="6" w:space="0" w:color="auto"/>
            </w:tcBorders>
          </w:tcPr>
          <w:p w14:paraId="133AB5C5" w14:textId="77777777" w:rsidR="00DD1C21" w:rsidRPr="00FD16E3" w:rsidRDefault="00DD1C21" w:rsidP="00DD1C21">
            <w:pPr>
              <w:snapToGrid w:val="0"/>
              <w:spacing w:line="360" w:lineRule="auto"/>
              <w:jc w:val="right"/>
              <w:rPr>
                <w:rFonts w:cs="Arial"/>
                <w:sz w:val="20"/>
                <w:szCs w:val="20"/>
                <w:lang w:val="fr-BE"/>
              </w:rPr>
            </w:pPr>
          </w:p>
          <w:p w14:paraId="382A19F7" w14:textId="76BF2DFB" w:rsidR="00DD1C21" w:rsidRPr="00FD16E3" w:rsidRDefault="00DD1C21" w:rsidP="002E704D">
            <w:pPr>
              <w:snapToGrid w:val="0"/>
              <w:spacing w:line="360" w:lineRule="auto"/>
              <w:jc w:val="right"/>
              <w:rPr>
                <w:rFonts w:cs="Arial"/>
                <w:sz w:val="20"/>
                <w:szCs w:val="20"/>
                <w:lang w:val="fr-BE"/>
              </w:rPr>
            </w:pPr>
            <w:r w:rsidRPr="00FD16E3">
              <w:rPr>
                <w:rFonts w:cs="Arial"/>
                <w:sz w:val="20"/>
                <w:szCs w:val="20"/>
                <w:lang w:val="fr-BE"/>
              </w:rPr>
              <w:t>(</w:t>
            </w:r>
            <w:r w:rsidR="00FD16E3" w:rsidRPr="00FD16E3">
              <w:rPr>
                <w:rFonts w:cs="Arial"/>
                <w:sz w:val="20"/>
                <w:szCs w:val="20"/>
                <w:lang w:val="fr-BE"/>
              </w:rPr>
              <w:t>rue</w:t>
            </w:r>
            <w:r w:rsidRPr="00FD16E3">
              <w:rPr>
                <w:rFonts w:cs="Arial"/>
                <w:sz w:val="20"/>
                <w:szCs w:val="20"/>
                <w:lang w:val="fr-BE"/>
              </w:rPr>
              <w:t>)</w:t>
            </w:r>
          </w:p>
          <w:p w14:paraId="34D33C44" w14:textId="298AA6A9" w:rsidR="00DD1C21" w:rsidRPr="00FD16E3" w:rsidRDefault="00DD1C21" w:rsidP="002E704D">
            <w:pPr>
              <w:snapToGrid w:val="0"/>
              <w:spacing w:line="360" w:lineRule="auto"/>
              <w:jc w:val="right"/>
              <w:rPr>
                <w:rFonts w:cs="Arial"/>
                <w:sz w:val="20"/>
                <w:szCs w:val="20"/>
                <w:lang w:val="fr-BE"/>
              </w:rPr>
            </w:pPr>
            <w:r w:rsidRPr="00FD16E3">
              <w:rPr>
                <w:rFonts w:cs="Arial"/>
                <w:sz w:val="20"/>
                <w:szCs w:val="20"/>
                <w:lang w:val="fr-BE"/>
              </w:rPr>
              <w:t>(</w:t>
            </w:r>
            <w:r w:rsidR="00FD16E3" w:rsidRPr="00FD16E3">
              <w:rPr>
                <w:rFonts w:cs="Arial"/>
                <w:sz w:val="20"/>
                <w:szCs w:val="20"/>
                <w:lang w:val="fr-BE"/>
              </w:rPr>
              <w:t>code postal et commune</w:t>
            </w:r>
            <w:r w:rsidRPr="00FD16E3">
              <w:rPr>
                <w:rFonts w:cs="Arial"/>
                <w:sz w:val="20"/>
                <w:szCs w:val="20"/>
                <w:lang w:val="fr-BE"/>
              </w:rPr>
              <w:t>)</w:t>
            </w:r>
          </w:p>
          <w:p w14:paraId="104796FB" w14:textId="3DC18454" w:rsidR="00DD1C21" w:rsidRPr="00FD16E3" w:rsidRDefault="00DD1C21" w:rsidP="002E704D">
            <w:pPr>
              <w:snapToGrid w:val="0"/>
              <w:spacing w:line="360" w:lineRule="auto"/>
              <w:jc w:val="right"/>
              <w:rPr>
                <w:rFonts w:cs="Arial"/>
                <w:sz w:val="20"/>
                <w:szCs w:val="20"/>
                <w:lang w:val="fr-BE"/>
              </w:rPr>
            </w:pPr>
            <w:r w:rsidRPr="00FD16E3">
              <w:rPr>
                <w:rFonts w:cs="Arial"/>
                <w:sz w:val="20"/>
                <w:szCs w:val="20"/>
                <w:lang w:val="fr-BE"/>
              </w:rPr>
              <w:t>(</w:t>
            </w:r>
            <w:r w:rsidR="00FD16E3">
              <w:rPr>
                <w:rFonts w:cs="Arial"/>
                <w:sz w:val="20"/>
                <w:szCs w:val="20"/>
                <w:lang w:val="fr-BE"/>
              </w:rPr>
              <w:t xml:space="preserve">numéro </w:t>
            </w:r>
            <w:r w:rsidRPr="00DD1C21">
              <w:rPr>
                <w:rFonts w:ascii="Wingdings" w:eastAsia="Wingdings" w:hAnsi="Wingdings" w:cs="Wingdings"/>
                <w:sz w:val="20"/>
                <w:szCs w:val="20"/>
                <w:lang w:val="nl-NL"/>
              </w:rPr>
              <w:t>)</w:t>
            </w:r>
            <w:r w:rsidRPr="00FD16E3">
              <w:rPr>
                <w:rFonts w:cs="Arial"/>
                <w:sz w:val="20"/>
                <w:szCs w:val="20"/>
                <w:lang w:val="fr-BE"/>
              </w:rPr>
              <w:t xml:space="preserve"> en </w:t>
            </w:r>
            <w:r w:rsidRPr="00FD16E3">
              <w:rPr>
                <w:rFonts w:ascii="CaslonOpnface BT" w:eastAsia="CaslonOpnface BT" w:hAnsi="CaslonOpnface BT" w:cs="CaslonOpnface BT"/>
                <w:sz w:val="20"/>
                <w:szCs w:val="20"/>
                <w:lang w:val="fr-BE"/>
              </w:rPr>
              <w:t>F</w:t>
            </w:r>
            <w:r w:rsidRPr="00FD16E3">
              <w:rPr>
                <w:rFonts w:cs="Arial"/>
                <w:sz w:val="20"/>
                <w:szCs w:val="20"/>
                <w:lang w:val="fr-BE"/>
              </w:rPr>
              <w:t>)</w:t>
            </w:r>
            <w:r w:rsidRPr="00FD16E3">
              <w:rPr>
                <w:rFonts w:cs="Arial"/>
                <w:sz w:val="20"/>
                <w:szCs w:val="20"/>
                <w:lang w:val="fr-BE"/>
              </w:rPr>
              <w:br/>
            </w:r>
            <w:r w:rsidRPr="00FD16E3">
              <w:rPr>
                <w:rFonts w:cs="Arial"/>
                <w:sz w:val="20"/>
                <w:szCs w:val="20"/>
                <w:lang w:val="fr-BE"/>
              </w:rPr>
              <w:br/>
              <w:t>(</w:t>
            </w:r>
            <w:r w:rsidR="00FD16E3">
              <w:rPr>
                <w:rFonts w:cs="Arial"/>
                <w:sz w:val="20"/>
                <w:szCs w:val="20"/>
                <w:lang w:val="fr-BE"/>
              </w:rPr>
              <w:t>adresse e-mail</w:t>
            </w:r>
            <w:r w:rsidRPr="00FD16E3">
              <w:rPr>
                <w:rFonts w:cs="Arial"/>
                <w:sz w:val="20"/>
                <w:szCs w:val="20"/>
                <w:lang w:val="fr-BE"/>
              </w:rPr>
              <w:t xml:space="preserve">) </w:t>
            </w:r>
          </w:p>
        </w:tc>
      </w:tr>
    </w:tbl>
    <w:p w14:paraId="006DF900" w14:textId="77777777" w:rsidR="00DD1C21" w:rsidRPr="00FD16E3" w:rsidRDefault="00DD1C21" w:rsidP="00DD1C21">
      <w:pPr>
        <w:snapToGrid w:val="0"/>
        <w:spacing w:line="360" w:lineRule="auto"/>
        <w:ind w:right="-1"/>
        <w:rPr>
          <w:rFonts w:cs="Arial"/>
          <w:sz w:val="20"/>
          <w:szCs w:val="20"/>
          <w:lang w:val="fr-BE"/>
        </w:rPr>
      </w:pPr>
    </w:p>
    <w:tbl>
      <w:tblPr>
        <w:tblW w:w="0" w:type="auto"/>
        <w:tblLayout w:type="fixed"/>
        <w:tblCellMar>
          <w:left w:w="70" w:type="dxa"/>
          <w:right w:w="70" w:type="dxa"/>
        </w:tblCellMar>
        <w:tblLook w:val="04A0" w:firstRow="1" w:lastRow="0" w:firstColumn="1" w:lastColumn="0" w:noHBand="0" w:noVBand="1"/>
      </w:tblPr>
      <w:tblGrid>
        <w:gridCol w:w="1204"/>
        <w:gridCol w:w="3828"/>
        <w:gridCol w:w="160"/>
        <w:gridCol w:w="4092"/>
      </w:tblGrid>
      <w:tr w:rsidR="00DD1C21" w:rsidRPr="00DD1C21" w14:paraId="5F4A269E" w14:textId="77777777">
        <w:tc>
          <w:tcPr>
            <w:tcW w:w="1204" w:type="dxa"/>
            <w:hideMark/>
          </w:tcPr>
          <w:p w14:paraId="15F632D2" w14:textId="163A7970" w:rsidR="00DD1C21" w:rsidRPr="00DD1C21" w:rsidRDefault="00FD16E3" w:rsidP="002E704D">
            <w:pPr>
              <w:snapToGrid w:val="0"/>
              <w:spacing w:line="360" w:lineRule="auto"/>
              <w:jc w:val="both"/>
              <w:rPr>
                <w:rFonts w:cs="Arial"/>
                <w:sz w:val="20"/>
                <w:szCs w:val="20"/>
                <w:lang w:val="nl-NL"/>
              </w:rPr>
            </w:pPr>
            <w:r>
              <w:rPr>
                <w:rFonts w:cs="Arial"/>
                <w:sz w:val="20"/>
                <w:szCs w:val="20"/>
                <w:lang w:val="nl-NL"/>
              </w:rPr>
              <w:t xml:space="preserve">Fait </w:t>
            </w:r>
            <w:r w:rsidR="00DD1C21" w:rsidRPr="00DD1C21">
              <w:rPr>
                <w:rFonts w:cs="Arial"/>
                <w:sz w:val="20"/>
                <w:szCs w:val="20"/>
                <w:lang w:val="nl-NL"/>
              </w:rPr>
              <w:t xml:space="preserve">: </w:t>
            </w:r>
          </w:p>
        </w:tc>
        <w:tc>
          <w:tcPr>
            <w:tcW w:w="3828" w:type="dxa"/>
            <w:tcBorders>
              <w:top w:val="single" w:sz="6" w:space="0" w:color="auto"/>
              <w:left w:val="single" w:sz="6" w:space="0" w:color="auto"/>
              <w:bottom w:val="single" w:sz="6" w:space="0" w:color="auto"/>
              <w:right w:val="nil"/>
            </w:tcBorders>
            <w:hideMark/>
          </w:tcPr>
          <w:p w14:paraId="21085026" w14:textId="74AC18CD" w:rsidR="00DD1C21" w:rsidRPr="00DD1C21" w:rsidRDefault="00FD16E3" w:rsidP="002E704D">
            <w:pPr>
              <w:snapToGrid w:val="0"/>
              <w:spacing w:line="360" w:lineRule="auto"/>
              <w:jc w:val="both"/>
              <w:rPr>
                <w:rFonts w:cs="Arial"/>
                <w:sz w:val="20"/>
                <w:szCs w:val="20"/>
                <w:lang w:val="nl-NL"/>
              </w:rPr>
            </w:pPr>
            <w:r>
              <w:rPr>
                <w:rFonts w:cs="Arial"/>
                <w:sz w:val="20"/>
                <w:szCs w:val="20"/>
                <w:lang w:val="nl-NL"/>
              </w:rPr>
              <w:t>A</w:t>
            </w:r>
          </w:p>
          <w:p w14:paraId="56F78713" w14:textId="77777777" w:rsidR="00DD1C21" w:rsidRPr="00DD1C21" w:rsidRDefault="00DD1C21" w:rsidP="00DD1C21">
            <w:pPr>
              <w:snapToGrid w:val="0"/>
              <w:spacing w:line="360" w:lineRule="auto"/>
              <w:rPr>
                <w:rFonts w:cs="Arial"/>
                <w:sz w:val="20"/>
                <w:szCs w:val="20"/>
                <w:lang w:val="nl-NL"/>
              </w:rPr>
            </w:pPr>
          </w:p>
          <w:p w14:paraId="7105CE1C" w14:textId="77777777" w:rsidR="00DD1C21" w:rsidRPr="00DD1C21" w:rsidRDefault="00DD1C21" w:rsidP="00DD1C21">
            <w:pPr>
              <w:snapToGrid w:val="0"/>
              <w:spacing w:line="360" w:lineRule="auto"/>
              <w:rPr>
                <w:rFonts w:cs="Arial"/>
                <w:sz w:val="20"/>
                <w:szCs w:val="20"/>
                <w:lang w:val="nl-NL"/>
              </w:rPr>
            </w:pPr>
          </w:p>
        </w:tc>
        <w:tc>
          <w:tcPr>
            <w:tcW w:w="160" w:type="dxa"/>
            <w:tcBorders>
              <w:top w:val="nil"/>
              <w:left w:val="single" w:sz="6" w:space="0" w:color="auto"/>
              <w:bottom w:val="nil"/>
              <w:right w:val="single" w:sz="6" w:space="0" w:color="auto"/>
            </w:tcBorders>
          </w:tcPr>
          <w:p w14:paraId="06C10767" w14:textId="77777777" w:rsidR="00DD1C21" w:rsidRPr="00DD1C21" w:rsidRDefault="00DD1C21" w:rsidP="00DD1C21">
            <w:pPr>
              <w:snapToGrid w:val="0"/>
              <w:spacing w:line="360" w:lineRule="auto"/>
              <w:rPr>
                <w:rFonts w:cs="Arial"/>
                <w:sz w:val="20"/>
                <w:szCs w:val="20"/>
                <w:lang w:val="nl-NL"/>
              </w:rPr>
            </w:pPr>
          </w:p>
        </w:tc>
        <w:tc>
          <w:tcPr>
            <w:tcW w:w="4092" w:type="dxa"/>
            <w:tcBorders>
              <w:top w:val="single" w:sz="6" w:space="0" w:color="auto"/>
              <w:left w:val="single" w:sz="6" w:space="0" w:color="auto"/>
              <w:bottom w:val="single" w:sz="6" w:space="0" w:color="auto"/>
              <w:right w:val="single" w:sz="6" w:space="0" w:color="auto"/>
            </w:tcBorders>
            <w:hideMark/>
          </w:tcPr>
          <w:p w14:paraId="3645BE61" w14:textId="4EE71C3D" w:rsidR="00DD1C21" w:rsidRPr="00DD1C21" w:rsidRDefault="00FD16E3" w:rsidP="002E704D">
            <w:pPr>
              <w:snapToGrid w:val="0"/>
              <w:spacing w:line="360" w:lineRule="auto"/>
              <w:jc w:val="both"/>
              <w:rPr>
                <w:rFonts w:cs="Arial"/>
                <w:sz w:val="20"/>
                <w:szCs w:val="20"/>
                <w:lang w:val="nl-NL"/>
              </w:rPr>
            </w:pPr>
            <w:r>
              <w:rPr>
                <w:rFonts w:cs="Arial"/>
                <w:sz w:val="20"/>
                <w:szCs w:val="20"/>
                <w:lang w:val="nl-NL"/>
              </w:rPr>
              <w:t>le</w:t>
            </w:r>
            <w:r w:rsidR="00DD1C21" w:rsidRPr="00DD1C21">
              <w:rPr>
                <w:rFonts w:cs="Arial"/>
                <w:sz w:val="20"/>
                <w:szCs w:val="20"/>
                <w:lang w:val="nl-NL"/>
              </w:rPr>
              <w:t xml:space="preserve">                                           </w:t>
            </w:r>
          </w:p>
          <w:p w14:paraId="2CA55F6A" w14:textId="77777777" w:rsidR="00DD1C21" w:rsidRPr="00DD1C21" w:rsidRDefault="00DD1C21" w:rsidP="00DD1C21">
            <w:pPr>
              <w:snapToGrid w:val="0"/>
              <w:spacing w:line="360" w:lineRule="auto"/>
              <w:rPr>
                <w:rFonts w:cs="Arial"/>
                <w:sz w:val="20"/>
                <w:szCs w:val="20"/>
                <w:lang w:val="nl-NL"/>
              </w:rPr>
            </w:pPr>
          </w:p>
        </w:tc>
      </w:tr>
    </w:tbl>
    <w:p w14:paraId="3AB875AF" w14:textId="77777777" w:rsidR="00DD1C21" w:rsidRPr="00DD1C21" w:rsidRDefault="00DD1C21" w:rsidP="00DD1C21">
      <w:pPr>
        <w:snapToGrid w:val="0"/>
        <w:spacing w:line="360" w:lineRule="auto"/>
        <w:ind w:right="-1"/>
        <w:rPr>
          <w:rFonts w:cs="Arial"/>
          <w:sz w:val="20"/>
          <w:szCs w:val="20"/>
          <w:lang w:val="nl-NL"/>
        </w:rPr>
      </w:pPr>
    </w:p>
    <w:p w14:paraId="51877ED5" w14:textId="680DA0D2" w:rsidR="00DD1C21" w:rsidRPr="00454FC3" w:rsidRDefault="00454FC3" w:rsidP="002E704D">
      <w:pPr>
        <w:snapToGrid w:val="0"/>
        <w:spacing w:line="360" w:lineRule="auto"/>
        <w:ind w:right="-1"/>
        <w:jc w:val="both"/>
        <w:rPr>
          <w:rFonts w:cs="Arial"/>
          <w:sz w:val="20"/>
          <w:szCs w:val="20"/>
          <w:lang w:val="fr-BE"/>
        </w:rPr>
      </w:pPr>
      <w:r>
        <w:rPr>
          <w:rFonts w:cs="Arial"/>
          <w:sz w:val="20"/>
          <w:szCs w:val="20"/>
          <w:lang w:val="fr-BE"/>
        </w:rPr>
        <w:t xml:space="preserve">Le </w:t>
      </w:r>
      <w:r w:rsidRPr="00454FC3">
        <w:rPr>
          <w:rFonts w:cs="Arial"/>
          <w:sz w:val="20"/>
          <w:szCs w:val="20"/>
          <w:lang w:val="fr-BE"/>
        </w:rPr>
        <w:t xml:space="preserve">soumissionnaire ou le fondé de pouvoirs </w:t>
      </w:r>
      <w:r w:rsidR="00DD1C21" w:rsidRPr="00454FC3">
        <w:rPr>
          <w:rFonts w:cs="Arial"/>
          <w:sz w:val="20"/>
          <w:szCs w:val="20"/>
          <w:lang w:val="fr-BE"/>
        </w:rPr>
        <w:t>:</w:t>
      </w:r>
    </w:p>
    <w:tbl>
      <w:tblPr>
        <w:tblW w:w="8080" w:type="dxa"/>
        <w:tblInd w:w="1205" w:type="dxa"/>
        <w:tblLayout w:type="fixed"/>
        <w:tblCellMar>
          <w:left w:w="71" w:type="dxa"/>
          <w:right w:w="71" w:type="dxa"/>
        </w:tblCellMar>
        <w:tblLook w:val="04A0" w:firstRow="1" w:lastRow="0" w:firstColumn="1" w:lastColumn="0" w:noHBand="0" w:noVBand="1"/>
      </w:tblPr>
      <w:tblGrid>
        <w:gridCol w:w="8080"/>
      </w:tblGrid>
      <w:tr w:rsidR="00DD1C21" w:rsidRPr="00DD1C21" w14:paraId="7A25DB15" w14:textId="77777777">
        <w:trPr>
          <w:trHeight w:val="1367"/>
        </w:trPr>
        <w:tc>
          <w:tcPr>
            <w:tcW w:w="8080" w:type="dxa"/>
            <w:tcBorders>
              <w:top w:val="single" w:sz="6" w:space="0" w:color="auto"/>
              <w:left w:val="single" w:sz="6" w:space="0" w:color="auto"/>
              <w:bottom w:val="single" w:sz="6" w:space="0" w:color="auto"/>
              <w:right w:val="single" w:sz="6" w:space="0" w:color="auto"/>
            </w:tcBorders>
            <w:hideMark/>
          </w:tcPr>
          <w:p w14:paraId="56199D6D" w14:textId="77777777" w:rsidR="00DD1C21" w:rsidRPr="00454FC3" w:rsidRDefault="00DD1C21" w:rsidP="002E704D">
            <w:pPr>
              <w:snapToGrid w:val="0"/>
              <w:spacing w:line="360" w:lineRule="auto"/>
              <w:jc w:val="both"/>
              <w:rPr>
                <w:rFonts w:cs="Arial"/>
                <w:sz w:val="20"/>
                <w:szCs w:val="20"/>
                <w:lang w:val="fr-BE"/>
              </w:rPr>
            </w:pPr>
          </w:p>
          <w:p w14:paraId="6F49B745" w14:textId="2B2BFA33" w:rsidR="00DD1C21" w:rsidRPr="00DD1C21" w:rsidRDefault="00DD1C21" w:rsidP="002E704D">
            <w:pPr>
              <w:snapToGrid w:val="0"/>
              <w:spacing w:line="360" w:lineRule="auto"/>
              <w:jc w:val="right"/>
              <w:rPr>
                <w:rFonts w:cs="Arial"/>
                <w:sz w:val="20"/>
                <w:szCs w:val="20"/>
                <w:lang w:val="nl-NL"/>
              </w:rPr>
            </w:pPr>
            <w:r w:rsidRPr="00DD1C21">
              <w:rPr>
                <w:rFonts w:cs="Arial"/>
                <w:sz w:val="20"/>
                <w:szCs w:val="20"/>
                <w:lang w:val="nl-NL"/>
              </w:rPr>
              <w:t>(n</w:t>
            </w:r>
            <w:r w:rsidR="00454FC3">
              <w:rPr>
                <w:rFonts w:cs="Arial"/>
                <w:sz w:val="20"/>
                <w:szCs w:val="20"/>
                <w:lang w:val="nl-NL"/>
              </w:rPr>
              <w:t>o</w:t>
            </w:r>
            <w:r w:rsidRPr="00DD1C21">
              <w:rPr>
                <w:rFonts w:cs="Arial"/>
                <w:sz w:val="20"/>
                <w:szCs w:val="20"/>
                <w:lang w:val="nl-NL"/>
              </w:rPr>
              <w:t>m)</w:t>
            </w:r>
          </w:p>
          <w:p w14:paraId="3FDEEE28" w14:textId="46D8048A" w:rsidR="00DD1C21" w:rsidRPr="00DD1C21" w:rsidRDefault="00DD1C21" w:rsidP="002E704D">
            <w:pPr>
              <w:snapToGrid w:val="0"/>
              <w:spacing w:line="360" w:lineRule="auto"/>
              <w:jc w:val="right"/>
              <w:rPr>
                <w:rFonts w:cs="Arial"/>
                <w:sz w:val="20"/>
                <w:szCs w:val="20"/>
                <w:lang w:val="nl-NL"/>
              </w:rPr>
            </w:pPr>
            <w:r w:rsidRPr="00DD1C21">
              <w:rPr>
                <w:rFonts w:cs="Arial"/>
                <w:sz w:val="20"/>
                <w:szCs w:val="20"/>
                <w:lang w:val="nl-NL"/>
              </w:rPr>
              <w:t>(functi</w:t>
            </w:r>
            <w:r w:rsidR="00454FC3">
              <w:rPr>
                <w:rFonts w:cs="Arial"/>
                <w:sz w:val="20"/>
                <w:szCs w:val="20"/>
                <w:lang w:val="nl-NL"/>
              </w:rPr>
              <w:t>on</w:t>
            </w:r>
            <w:r w:rsidRPr="00DD1C21">
              <w:rPr>
                <w:rFonts w:cs="Arial"/>
                <w:sz w:val="20"/>
                <w:szCs w:val="20"/>
                <w:lang w:val="nl-NL"/>
              </w:rPr>
              <w:t>)</w:t>
            </w:r>
          </w:p>
          <w:p w14:paraId="1172BF69" w14:textId="12CF90D8" w:rsidR="00DD1C21" w:rsidRPr="00DD1C21" w:rsidRDefault="00DD1C21" w:rsidP="002E704D">
            <w:pPr>
              <w:snapToGrid w:val="0"/>
              <w:spacing w:line="360" w:lineRule="auto"/>
              <w:jc w:val="right"/>
              <w:rPr>
                <w:rFonts w:cs="Arial"/>
                <w:sz w:val="20"/>
                <w:szCs w:val="20"/>
                <w:lang w:val="nl-NL"/>
              </w:rPr>
            </w:pPr>
            <w:r w:rsidRPr="00DD1C21">
              <w:rPr>
                <w:rFonts w:cs="Arial"/>
                <w:sz w:val="20"/>
                <w:szCs w:val="20"/>
                <w:lang w:val="nl-NL"/>
              </w:rPr>
              <w:t>(</w:t>
            </w:r>
            <w:r w:rsidR="00454FC3">
              <w:rPr>
                <w:rFonts w:cs="Arial"/>
                <w:sz w:val="20"/>
                <w:szCs w:val="20"/>
                <w:lang w:val="nl-NL"/>
              </w:rPr>
              <w:t>signature</w:t>
            </w:r>
            <w:r w:rsidRPr="00DD1C21">
              <w:rPr>
                <w:rFonts w:cs="Arial"/>
                <w:sz w:val="20"/>
                <w:szCs w:val="20"/>
                <w:lang w:val="nl-NL"/>
              </w:rPr>
              <w:t>)</w:t>
            </w:r>
          </w:p>
        </w:tc>
      </w:tr>
    </w:tbl>
    <w:p w14:paraId="7798B617" w14:textId="77777777" w:rsidR="00DD1C21" w:rsidRPr="00DD1C21" w:rsidRDefault="00DD1C21" w:rsidP="002E704D">
      <w:pPr>
        <w:snapToGrid w:val="0"/>
        <w:spacing w:line="360" w:lineRule="auto"/>
        <w:jc w:val="both"/>
        <w:rPr>
          <w:rFonts w:cs="Arial"/>
          <w:sz w:val="20"/>
          <w:szCs w:val="20"/>
          <w:lang w:val="nl-N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4"/>
      </w:tblGrid>
      <w:tr w:rsidR="00DD1C21" w:rsidRPr="006A3299" w14:paraId="0DC24780" w14:textId="77777777">
        <w:tc>
          <w:tcPr>
            <w:tcW w:w="9284" w:type="dxa"/>
            <w:tcBorders>
              <w:top w:val="single" w:sz="4" w:space="0" w:color="auto"/>
              <w:left w:val="single" w:sz="4" w:space="0" w:color="auto"/>
              <w:bottom w:val="single" w:sz="4" w:space="0" w:color="auto"/>
              <w:right w:val="single" w:sz="4" w:space="0" w:color="auto"/>
            </w:tcBorders>
          </w:tcPr>
          <w:p w14:paraId="388E8ED6" w14:textId="77777777" w:rsidR="00DD1C21" w:rsidRPr="006E1904" w:rsidRDefault="00DD1C21" w:rsidP="00DD1C21">
            <w:pPr>
              <w:snapToGrid w:val="0"/>
              <w:spacing w:line="360" w:lineRule="auto"/>
              <w:rPr>
                <w:rFonts w:cs="Arial"/>
                <w:sz w:val="20"/>
                <w:szCs w:val="20"/>
                <w:lang w:val="fr-BE"/>
              </w:rPr>
            </w:pPr>
          </w:p>
          <w:p w14:paraId="500A7298" w14:textId="2AC00DBE" w:rsidR="00DD1C21" w:rsidRPr="006E1904" w:rsidRDefault="00454FC3" w:rsidP="00DD1C21">
            <w:pPr>
              <w:snapToGrid w:val="0"/>
              <w:spacing w:line="240" w:lineRule="auto"/>
              <w:rPr>
                <w:rFonts w:cs="Arial"/>
                <w:sz w:val="20"/>
                <w:szCs w:val="20"/>
                <w:lang w:val="fr-BE"/>
              </w:rPr>
            </w:pPr>
            <w:r w:rsidRPr="006E1904">
              <w:rPr>
                <w:rFonts w:cs="Arial"/>
                <w:sz w:val="20"/>
                <w:szCs w:val="20"/>
                <w:lang w:val="fr-BE"/>
              </w:rPr>
              <w:t>APPROUVE</w:t>
            </w:r>
            <w:r w:rsidR="00DD1C21" w:rsidRPr="006E1904">
              <w:rPr>
                <w:rFonts w:cs="Arial"/>
                <w:sz w:val="20"/>
                <w:szCs w:val="20"/>
                <w:lang w:val="fr-BE"/>
              </w:rPr>
              <w:t>,</w:t>
            </w:r>
            <w:r w:rsidR="00DD1C21" w:rsidRPr="006E1904">
              <w:rPr>
                <w:rFonts w:cs="Arial"/>
                <w:sz w:val="20"/>
                <w:szCs w:val="20"/>
                <w:lang w:val="fr-BE"/>
              </w:rPr>
              <w:br/>
            </w:r>
            <w:r w:rsidR="00DD1C21" w:rsidRPr="006E1904">
              <w:rPr>
                <w:sz w:val="20"/>
                <w:szCs w:val="20"/>
                <w:lang w:val="fr-BE"/>
              </w:rPr>
              <w:t>1000 Br</w:t>
            </w:r>
            <w:r w:rsidRPr="006E1904">
              <w:rPr>
                <w:sz w:val="20"/>
                <w:szCs w:val="20"/>
                <w:lang w:val="fr-BE"/>
              </w:rPr>
              <w:t>uxelles</w:t>
            </w:r>
            <w:r w:rsidR="00DD1C21" w:rsidRPr="006E1904">
              <w:rPr>
                <w:rFonts w:cs="Arial"/>
                <w:sz w:val="20"/>
                <w:szCs w:val="20"/>
                <w:lang w:val="fr-BE"/>
              </w:rPr>
              <w:t>,</w:t>
            </w:r>
          </w:p>
          <w:p w14:paraId="3BDB1CAB" w14:textId="77777777" w:rsidR="00DD1C21" w:rsidRPr="006E1904" w:rsidRDefault="00DD1C21" w:rsidP="00DD1C21">
            <w:pPr>
              <w:snapToGrid w:val="0"/>
              <w:spacing w:line="360" w:lineRule="auto"/>
              <w:rPr>
                <w:rFonts w:cs="Arial"/>
                <w:sz w:val="20"/>
                <w:szCs w:val="20"/>
                <w:lang w:val="fr-BE"/>
              </w:rPr>
            </w:pPr>
          </w:p>
          <w:p w14:paraId="5FE791BA" w14:textId="77777777" w:rsidR="00DD1C21" w:rsidRPr="006E1904" w:rsidRDefault="00DD1C21" w:rsidP="00DD1C21">
            <w:pPr>
              <w:snapToGrid w:val="0"/>
              <w:spacing w:line="360" w:lineRule="auto"/>
              <w:rPr>
                <w:rFonts w:cs="Arial"/>
                <w:sz w:val="20"/>
                <w:szCs w:val="20"/>
                <w:lang w:val="fr-BE"/>
              </w:rPr>
            </w:pPr>
          </w:p>
          <w:p w14:paraId="51CE82F5" w14:textId="77777777" w:rsidR="00DD1C21" w:rsidRPr="006E1904" w:rsidRDefault="00DD1C21" w:rsidP="00DD1C21">
            <w:pPr>
              <w:snapToGrid w:val="0"/>
              <w:spacing w:line="360" w:lineRule="auto"/>
              <w:rPr>
                <w:rFonts w:cs="Arial"/>
                <w:sz w:val="20"/>
                <w:szCs w:val="20"/>
                <w:lang w:val="fr-BE"/>
              </w:rPr>
            </w:pPr>
          </w:p>
          <w:p w14:paraId="7A82CA8A" w14:textId="77777777" w:rsidR="00DD1C21" w:rsidRPr="006E1904" w:rsidRDefault="00DD1C21" w:rsidP="00DD1C21">
            <w:pPr>
              <w:snapToGrid w:val="0"/>
              <w:spacing w:line="360" w:lineRule="auto"/>
              <w:rPr>
                <w:rFonts w:cs="Arial"/>
                <w:sz w:val="20"/>
                <w:szCs w:val="20"/>
                <w:lang w:val="fr-BE"/>
              </w:rPr>
            </w:pPr>
          </w:p>
          <w:p w14:paraId="06A112A9" w14:textId="77777777" w:rsidR="00DD1C21" w:rsidRPr="006E1904" w:rsidRDefault="00DD1C21" w:rsidP="00DD1C21">
            <w:pPr>
              <w:snapToGrid w:val="0"/>
              <w:spacing w:line="360" w:lineRule="auto"/>
              <w:rPr>
                <w:rFonts w:cs="Arial"/>
                <w:sz w:val="20"/>
                <w:szCs w:val="20"/>
                <w:lang w:val="fr-BE"/>
              </w:rPr>
            </w:pPr>
          </w:p>
          <w:p w14:paraId="6C55A10D" w14:textId="77777777" w:rsidR="00DD1C21" w:rsidRPr="006E1904" w:rsidRDefault="00DD1C21" w:rsidP="00DD1C21">
            <w:pPr>
              <w:snapToGrid w:val="0"/>
              <w:spacing w:line="360" w:lineRule="auto"/>
              <w:rPr>
                <w:rFonts w:cs="Arial"/>
                <w:sz w:val="20"/>
                <w:szCs w:val="20"/>
                <w:lang w:val="fr-BE"/>
              </w:rPr>
            </w:pPr>
            <w:r w:rsidRPr="006E1904">
              <w:rPr>
                <w:sz w:val="20"/>
                <w:szCs w:val="20"/>
                <w:lang w:val="fr-BE"/>
              </w:rPr>
              <w:t>Cécilia De Decker</w:t>
            </w:r>
            <w:r w:rsidRPr="006E1904">
              <w:rPr>
                <w:rFonts w:cs="Arial"/>
                <w:sz w:val="20"/>
                <w:szCs w:val="20"/>
                <w:lang w:val="fr-BE"/>
              </w:rPr>
              <w:t xml:space="preserve"> </w:t>
            </w:r>
          </w:p>
          <w:p w14:paraId="2C1070C0" w14:textId="57C403E8" w:rsidR="00DD1C21" w:rsidRPr="00291DD4" w:rsidRDefault="00291DD4" w:rsidP="00DD1C21">
            <w:pPr>
              <w:snapToGrid w:val="0"/>
              <w:spacing w:line="360" w:lineRule="auto"/>
              <w:rPr>
                <w:rFonts w:cs="Arial"/>
                <w:sz w:val="20"/>
                <w:szCs w:val="20"/>
                <w:lang w:val="fr-BE"/>
              </w:rPr>
            </w:pPr>
            <w:r w:rsidRPr="00291DD4">
              <w:rPr>
                <w:sz w:val="20"/>
                <w:szCs w:val="20"/>
                <w:lang w:val="fr-BE"/>
              </w:rPr>
              <w:t xml:space="preserve">Evaluatrice spéciale de la Coopération belge au </w:t>
            </w:r>
            <w:r>
              <w:rPr>
                <w:sz w:val="20"/>
                <w:szCs w:val="20"/>
                <w:lang w:val="fr-BE"/>
              </w:rPr>
              <w:t>D</w:t>
            </w:r>
            <w:r w:rsidRPr="00291DD4">
              <w:rPr>
                <w:sz w:val="20"/>
                <w:szCs w:val="20"/>
                <w:lang w:val="fr-BE"/>
              </w:rPr>
              <w:t>éveloppement</w:t>
            </w:r>
          </w:p>
        </w:tc>
      </w:tr>
    </w:tbl>
    <w:p w14:paraId="713DB37E" w14:textId="77777777" w:rsidR="00DD1C21" w:rsidRPr="00291DD4" w:rsidRDefault="00DD1C21" w:rsidP="00DD1C21">
      <w:pPr>
        <w:snapToGrid w:val="0"/>
        <w:spacing w:line="360" w:lineRule="auto"/>
        <w:rPr>
          <w:rFonts w:cs="Arial"/>
          <w:sz w:val="20"/>
          <w:szCs w:val="20"/>
          <w:lang w:val="fr-BE"/>
        </w:rPr>
      </w:pPr>
    </w:p>
    <w:p w14:paraId="671BD93D" w14:textId="37C55CE2" w:rsidR="00DD1C21" w:rsidRPr="00291DD4" w:rsidRDefault="00DD1C21" w:rsidP="00DD1C21">
      <w:pPr>
        <w:snapToGrid w:val="0"/>
        <w:spacing w:after="60"/>
        <w:ind w:right="-1"/>
        <w:rPr>
          <w:rFonts w:cstheme="minorHAnsi"/>
          <w:color w:val="003B79"/>
          <w:sz w:val="20"/>
          <w:szCs w:val="20"/>
          <w:u w:val="single"/>
          <w:lang w:val="fr-BE"/>
        </w:rPr>
      </w:pPr>
    </w:p>
    <w:p w14:paraId="29891807" w14:textId="0B6B9ACA" w:rsidR="002E704D" w:rsidRPr="00291DD4" w:rsidRDefault="002E704D" w:rsidP="00DD1C21">
      <w:pPr>
        <w:snapToGrid w:val="0"/>
        <w:spacing w:after="60"/>
        <w:ind w:right="-1"/>
        <w:rPr>
          <w:rFonts w:cstheme="minorHAnsi"/>
          <w:color w:val="003B79"/>
          <w:sz w:val="20"/>
          <w:szCs w:val="20"/>
          <w:u w:val="single"/>
          <w:lang w:val="fr-BE"/>
        </w:rPr>
      </w:pPr>
    </w:p>
    <w:p w14:paraId="3A1DED7B" w14:textId="292C6712" w:rsidR="002E704D" w:rsidRPr="00291DD4" w:rsidRDefault="002E704D" w:rsidP="00DD1C21">
      <w:pPr>
        <w:snapToGrid w:val="0"/>
        <w:spacing w:after="60"/>
        <w:ind w:right="-1"/>
        <w:rPr>
          <w:rFonts w:cstheme="minorHAnsi"/>
          <w:color w:val="003B79"/>
          <w:sz w:val="20"/>
          <w:szCs w:val="20"/>
          <w:u w:val="single"/>
          <w:lang w:val="fr-BE"/>
        </w:rPr>
      </w:pPr>
    </w:p>
    <w:p w14:paraId="277AD9C9" w14:textId="72D087A0" w:rsidR="002E704D" w:rsidRPr="00291DD4" w:rsidRDefault="002E704D" w:rsidP="00DD1C21">
      <w:pPr>
        <w:snapToGrid w:val="0"/>
        <w:spacing w:after="60"/>
        <w:ind w:right="-1"/>
        <w:rPr>
          <w:rFonts w:cstheme="minorHAnsi"/>
          <w:color w:val="003B79"/>
          <w:sz w:val="20"/>
          <w:szCs w:val="20"/>
          <w:u w:val="single"/>
          <w:lang w:val="fr-BE"/>
        </w:rPr>
      </w:pPr>
    </w:p>
    <w:p w14:paraId="44F00AB9" w14:textId="47D82FF3" w:rsidR="002E704D" w:rsidRPr="00291DD4" w:rsidRDefault="002E704D" w:rsidP="00DD1C21">
      <w:pPr>
        <w:snapToGrid w:val="0"/>
        <w:spacing w:after="60"/>
        <w:ind w:right="-1"/>
        <w:rPr>
          <w:rFonts w:cstheme="minorHAnsi"/>
          <w:color w:val="003B79"/>
          <w:sz w:val="20"/>
          <w:szCs w:val="20"/>
          <w:u w:val="single"/>
          <w:lang w:val="fr-BE"/>
        </w:rPr>
      </w:pPr>
    </w:p>
    <w:p w14:paraId="4BB467D3" w14:textId="62FFEEBB" w:rsidR="002E704D" w:rsidRPr="00291DD4" w:rsidRDefault="002E704D" w:rsidP="00DD1C21">
      <w:pPr>
        <w:snapToGrid w:val="0"/>
        <w:spacing w:after="60"/>
        <w:ind w:right="-1"/>
        <w:rPr>
          <w:rFonts w:cstheme="minorHAnsi"/>
          <w:color w:val="003B79"/>
          <w:sz w:val="20"/>
          <w:szCs w:val="20"/>
          <w:u w:val="single"/>
          <w:lang w:val="fr-BE"/>
        </w:rPr>
      </w:pPr>
    </w:p>
    <w:p w14:paraId="0F76570D" w14:textId="49F63C67" w:rsidR="002E704D" w:rsidRPr="00291DD4" w:rsidRDefault="002E704D" w:rsidP="00DD1C21">
      <w:pPr>
        <w:snapToGrid w:val="0"/>
        <w:spacing w:after="60"/>
        <w:ind w:right="-1"/>
        <w:rPr>
          <w:rFonts w:cstheme="minorHAnsi"/>
          <w:color w:val="003B79"/>
          <w:sz w:val="20"/>
          <w:szCs w:val="20"/>
          <w:u w:val="single"/>
          <w:lang w:val="fr-BE"/>
        </w:rPr>
      </w:pPr>
    </w:p>
    <w:p w14:paraId="06781B7B" w14:textId="48C2EBEA" w:rsidR="002E704D" w:rsidRPr="00291DD4" w:rsidRDefault="002E704D" w:rsidP="00DD1C21">
      <w:pPr>
        <w:snapToGrid w:val="0"/>
        <w:spacing w:after="60"/>
        <w:ind w:right="-1"/>
        <w:rPr>
          <w:rFonts w:cstheme="minorHAnsi"/>
          <w:color w:val="003B79"/>
          <w:sz w:val="20"/>
          <w:szCs w:val="20"/>
          <w:u w:val="single"/>
          <w:lang w:val="fr-BE"/>
        </w:rPr>
      </w:pPr>
    </w:p>
    <w:p w14:paraId="78E14C9E" w14:textId="764536B7" w:rsidR="002E704D" w:rsidRPr="00291DD4" w:rsidRDefault="002E704D" w:rsidP="00DD1C21">
      <w:pPr>
        <w:snapToGrid w:val="0"/>
        <w:spacing w:after="60"/>
        <w:ind w:right="-1"/>
        <w:rPr>
          <w:rFonts w:cstheme="minorHAnsi"/>
          <w:color w:val="003B79"/>
          <w:sz w:val="20"/>
          <w:szCs w:val="20"/>
          <w:u w:val="single"/>
          <w:lang w:val="fr-BE"/>
        </w:rPr>
      </w:pPr>
    </w:p>
    <w:p w14:paraId="58510B48" w14:textId="382AAC4A" w:rsidR="002E704D" w:rsidRPr="00291DD4" w:rsidRDefault="002E704D" w:rsidP="00DD1C21">
      <w:pPr>
        <w:snapToGrid w:val="0"/>
        <w:spacing w:after="60"/>
        <w:ind w:right="-1"/>
        <w:rPr>
          <w:rFonts w:cstheme="minorHAnsi"/>
          <w:color w:val="003B79"/>
          <w:sz w:val="20"/>
          <w:szCs w:val="20"/>
          <w:u w:val="single"/>
          <w:lang w:val="fr-BE"/>
        </w:rPr>
      </w:pPr>
    </w:p>
    <w:p w14:paraId="58205245" w14:textId="6B011487" w:rsidR="002E704D" w:rsidRPr="00291DD4" w:rsidRDefault="002E704D" w:rsidP="00DD1C21">
      <w:pPr>
        <w:snapToGrid w:val="0"/>
        <w:spacing w:after="60"/>
        <w:ind w:right="-1"/>
        <w:rPr>
          <w:rFonts w:cstheme="minorHAnsi"/>
          <w:color w:val="003B79"/>
          <w:sz w:val="20"/>
          <w:szCs w:val="20"/>
          <w:u w:val="single"/>
          <w:lang w:val="fr-BE"/>
        </w:rPr>
      </w:pPr>
    </w:p>
    <w:p w14:paraId="237D7BBA" w14:textId="20004BA4" w:rsidR="002E704D" w:rsidRPr="00291DD4" w:rsidRDefault="002E704D" w:rsidP="00DD1C21">
      <w:pPr>
        <w:snapToGrid w:val="0"/>
        <w:spacing w:after="60"/>
        <w:ind w:right="-1"/>
        <w:rPr>
          <w:rFonts w:cstheme="minorHAnsi"/>
          <w:color w:val="003B79"/>
          <w:sz w:val="20"/>
          <w:szCs w:val="20"/>
          <w:u w:val="single"/>
          <w:lang w:val="fr-BE"/>
        </w:rPr>
      </w:pPr>
    </w:p>
    <w:p w14:paraId="4662877A" w14:textId="4CF4364D" w:rsidR="002E704D" w:rsidRPr="00291DD4" w:rsidRDefault="002E704D" w:rsidP="00DD1C21">
      <w:pPr>
        <w:snapToGrid w:val="0"/>
        <w:spacing w:after="60"/>
        <w:ind w:right="-1"/>
        <w:rPr>
          <w:rFonts w:cstheme="minorHAnsi"/>
          <w:color w:val="003B79"/>
          <w:sz w:val="20"/>
          <w:szCs w:val="20"/>
          <w:u w:val="single"/>
          <w:lang w:val="fr-BE"/>
        </w:rPr>
      </w:pPr>
    </w:p>
    <w:p w14:paraId="4FD3FFCA" w14:textId="1308BDBB" w:rsidR="002E704D" w:rsidRPr="00291DD4" w:rsidRDefault="002E704D" w:rsidP="00DD1C21">
      <w:pPr>
        <w:snapToGrid w:val="0"/>
        <w:spacing w:after="60"/>
        <w:ind w:right="-1"/>
        <w:rPr>
          <w:rFonts w:cstheme="minorHAnsi"/>
          <w:color w:val="003B79"/>
          <w:sz w:val="20"/>
          <w:szCs w:val="20"/>
          <w:u w:val="single"/>
          <w:lang w:val="fr-BE"/>
        </w:rPr>
      </w:pPr>
    </w:p>
    <w:p w14:paraId="51635E23" w14:textId="77777777" w:rsidR="002E704D" w:rsidRPr="00291DD4" w:rsidRDefault="002E704D" w:rsidP="00DD1C21">
      <w:pPr>
        <w:snapToGrid w:val="0"/>
        <w:spacing w:after="60"/>
        <w:ind w:right="-1"/>
        <w:rPr>
          <w:rFonts w:cstheme="minorHAnsi"/>
          <w:color w:val="003B79"/>
          <w:sz w:val="20"/>
          <w:szCs w:val="20"/>
          <w:u w:val="single"/>
          <w:lang w:val="fr-BE"/>
        </w:rPr>
      </w:pPr>
    </w:p>
    <w:p w14:paraId="6DBD0238" w14:textId="632579F3" w:rsidR="002E704D" w:rsidRDefault="002E704D" w:rsidP="00DD1C21">
      <w:pPr>
        <w:snapToGrid w:val="0"/>
        <w:spacing w:after="60"/>
        <w:ind w:right="-1"/>
        <w:rPr>
          <w:rFonts w:cstheme="minorHAnsi"/>
          <w:color w:val="003B79"/>
          <w:sz w:val="20"/>
          <w:szCs w:val="20"/>
          <w:u w:val="single"/>
          <w:lang w:val="fr-BE"/>
        </w:rPr>
      </w:pPr>
    </w:p>
    <w:p w14:paraId="2FC442C9" w14:textId="5129C7A4" w:rsidR="00FB017C" w:rsidRDefault="00FB017C" w:rsidP="00DD1C21">
      <w:pPr>
        <w:snapToGrid w:val="0"/>
        <w:spacing w:after="60"/>
        <w:ind w:right="-1"/>
        <w:rPr>
          <w:rFonts w:cstheme="minorHAnsi"/>
          <w:color w:val="003B79"/>
          <w:sz w:val="20"/>
          <w:szCs w:val="20"/>
          <w:u w:val="single"/>
          <w:lang w:val="fr-BE"/>
        </w:rPr>
      </w:pPr>
    </w:p>
    <w:p w14:paraId="4ADCBFD6" w14:textId="061A94BA" w:rsidR="00FB017C" w:rsidRDefault="00FB017C" w:rsidP="00DD1C21">
      <w:pPr>
        <w:snapToGrid w:val="0"/>
        <w:spacing w:after="60"/>
        <w:ind w:right="-1"/>
        <w:rPr>
          <w:rFonts w:cstheme="minorHAnsi"/>
          <w:color w:val="003B79"/>
          <w:sz w:val="20"/>
          <w:szCs w:val="20"/>
          <w:u w:val="single"/>
          <w:lang w:val="fr-BE"/>
        </w:rPr>
      </w:pPr>
    </w:p>
    <w:p w14:paraId="44C84AD5" w14:textId="00B9BB3B" w:rsidR="00FB017C" w:rsidRDefault="00FB017C" w:rsidP="00DD1C21">
      <w:pPr>
        <w:snapToGrid w:val="0"/>
        <w:spacing w:after="60"/>
        <w:ind w:right="-1"/>
        <w:rPr>
          <w:rFonts w:cstheme="minorHAnsi"/>
          <w:color w:val="003B79"/>
          <w:sz w:val="20"/>
          <w:szCs w:val="20"/>
          <w:u w:val="single"/>
          <w:lang w:val="fr-BE"/>
        </w:rPr>
      </w:pPr>
    </w:p>
    <w:p w14:paraId="70507C61" w14:textId="774E0738" w:rsidR="00FB017C" w:rsidRDefault="00FB017C" w:rsidP="00DD1C21">
      <w:pPr>
        <w:snapToGrid w:val="0"/>
        <w:spacing w:after="60"/>
        <w:ind w:right="-1"/>
        <w:rPr>
          <w:rFonts w:cstheme="minorHAnsi"/>
          <w:color w:val="003B79"/>
          <w:sz w:val="20"/>
          <w:szCs w:val="20"/>
          <w:u w:val="single"/>
          <w:lang w:val="fr-BE"/>
        </w:rPr>
      </w:pPr>
    </w:p>
    <w:p w14:paraId="0777EE80" w14:textId="77777777" w:rsidR="00FB017C" w:rsidRPr="00291DD4" w:rsidRDefault="00FB017C" w:rsidP="00DD1C21">
      <w:pPr>
        <w:snapToGrid w:val="0"/>
        <w:spacing w:after="60"/>
        <w:ind w:right="-1"/>
        <w:rPr>
          <w:rFonts w:cstheme="minorHAnsi"/>
          <w:color w:val="003B79"/>
          <w:sz w:val="20"/>
          <w:szCs w:val="20"/>
          <w:u w:val="single"/>
          <w:lang w:val="fr-BE"/>
        </w:rPr>
      </w:pPr>
    </w:p>
    <w:p w14:paraId="4FB3FD36" w14:textId="4705D9A2" w:rsidR="002E704D" w:rsidRPr="00291DD4" w:rsidRDefault="002E704D" w:rsidP="00DD1C21">
      <w:pPr>
        <w:snapToGrid w:val="0"/>
        <w:spacing w:after="60"/>
        <w:ind w:right="-1"/>
        <w:rPr>
          <w:rFonts w:cstheme="minorHAnsi"/>
          <w:color w:val="003B79"/>
          <w:sz w:val="20"/>
          <w:szCs w:val="20"/>
          <w:u w:val="single"/>
          <w:lang w:val="fr-BE"/>
        </w:rPr>
      </w:pPr>
    </w:p>
    <w:p w14:paraId="467AED99" w14:textId="77777777" w:rsidR="002E704D" w:rsidRPr="00291DD4" w:rsidRDefault="002E704D" w:rsidP="00DD1C21">
      <w:pPr>
        <w:snapToGrid w:val="0"/>
        <w:spacing w:after="60"/>
        <w:ind w:right="-1"/>
        <w:rPr>
          <w:rFonts w:cstheme="minorHAnsi"/>
          <w:color w:val="003B79"/>
          <w:sz w:val="20"/>
          <w:szCs w:val="20"/>
          <w:u w:val="single"/>
          <w:lang w:val="fr-BE"/>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84"/>
      </w:tblGrid>
      <w:tr w:rsidR="00BF3335" w:rsidRPr="006A3299" w14:paraId="597D335F" w14:textId="77777777">
        <w:tc>
          <w:tcPr>
            <w:tcW w:w="9284" w:type="dxa"/>
            <w:tcBorders>
              <w:top w:val="single" w:sz="4" w:space="0" w:color="auto"/>
              <w:left w:val="single" w:sz="4" w:space="0" w:color="auto"/>
              <w:bottom w:val="single" w:sz="4" w:space="0" w:color="auto"/>
              <w:right w:val="single" w:sz="4" w:space="0" w:color="auto"/>
            </w:tcBorders>
            <w:shd w:val="pct5" w:color="auto" w:fill="FFFFFF"/>
          </w:tcPr>
          <w:p w14:paraId="76B3AE4D" w14:textId="7F1DB035" w:rsidR="00BF3335" w:rsidRPr="00907320" w:rsidRDefault="00907320" w:rsidP="00BF3335">
            <w:pPr>
              <w:pStyle w:val="Vade-Mecum0"/>
              <w:rPr>
                <w:b/>
              </w:rPr>
            </w:pPr>
            <w:r w:rsidRPr="00907320">
              <w:rPr>
                <w:b/>
              </w:rPr>
              <w:t>POUR MEMOIRE: DOCUMENTS A JOINDRE OBLIGATOIREMENT A L’OFFRE:</w:t>
            </w:r>
          </w:p>
          <w:p w14:paraId="422065D2" w14:textId="61924D31" w:rsidR="00BF3335" w:rsidRPr="00907320" w:rsidRDefault="00907320" w:rsidP="00BF3335">
            <w:pPr>
              <w:pStyle w:val="Vade-Mecum0"/>
            </w:pPr>
            <w:r w:rsidRPr="00907320">
              <w:t>Tous les documents et renseignements demandés dans le cadre des critères d’attribution, ainsi que</w:t>
            </w:r>
            <w:r>
              <w:t xml:space="preserve"> </w:t>
            </w:r>
            <w:r w:rsidRPr="00907320">
              <w:t>:</w:t>
            </w:r>
          </w:p>
          <w:p w14:paraId="2FD2670C" w14:textId="79EA9706" w:rsidR="00DA17B0" w:rsidRPr="00DA17B0" w:rsidRDefault="00DA17B0" w:rsidP="00DA17B0">
            <w:pPr>
              <w:pStyle w:val="Vade-Mecum0"/>
              <w:numPr>
                <w:ilvl w:val="0"/>
                <w:numId w:val="43"/>
              </w:numPr>
            </w:pPr>
            <w:r w:rsidRPr="00DA17B0">
              <w:t>état du chiffre d’affaires total réalisé au cours des trois derniers exercices, à moins que le chiffre d’affaires total ne soit indiqué dans les états financiers approuvés qui peuvent être consultés via le portail électronique</w:t>
            </w:r>
            <w:r>
              <w:t xml:space="preserve"> </w:t>
            </w:r>
            <w:r w:rsidRPr="00DA17B0">
              <w:t xml:space="preserve">; </w:t>
            </w:r>
          </w:p>
          <w:p w14:paraId="4FDAFBE2" w14:textId="1EFDE4EB" w:rsidR="00DA17B0" w:rsidRDefault="00DA17B0" w:rsidP="00DA17B0">
            <w:pPr>
              <w:pStyle w:val="Vade-Mecum0"/>
              <w:numPr>
                <w:ilvl w:val="0"/>
                <w:numId w:val="43"/>
              </w:numPr>
            </w:pPr>
            <w:r w:rsidRPr="00DA17B0">
              <w:t>déclaration sur le chiffre d’affaires relatif aux activités d’évaluation de la coopération au développement réalisées au cours des trois derniers exercices</w:t>
            </w:r>
            <w:r>
              <w:t xml:space="preserve"> </w:t>
            </w:r>
            <w:r w:rsidRPr="00DA17B0">
              <w:t xml:space="preserve">; </w:t>
            </w:r>
          </w:p>
          <w:p w14:paraId="52EA7582" w14:textId="4626E6EC" w:rsidR="00DA17B0" w:rsidRPr="00DA17B0" w:rsidRDefault="00DA17B0" w:rsidP="00DA17B0">
            <w:pPr>
              <w:pStyle w:val="Vade-Mecum0"/>
              <w:numPr>
                <w:ilvl w:val="0"/>
                <w:numId w:val="43"/>
              </w:numPr>
            </w:pPr>
            <w:r>
              <w:t>d</w:t>
            </w:r>
            <w:r w:rsidRPr="00DA17B0">
              <w:t>escription de l’activité du soumissionnaire, y compris ses principaux actifs en ce qui concerne les services fournis dans le cadre du présent contrat</w:t>
            </w:r>
            <w:r>
              <w:t xml:space="preserve"> </w:t>
            </w:r>
            <w:r w:rsidRPr="00DA17B0">
              <w:t>;</w:t>
            </w:r>
          </w:p>
          <w:p w14:paraId="347BAA9D" w14:textId="5B4979DC" w:rsidR="00DA17B0" w:rsidRDefault="00DA17B0" w:rsidP="00DA17B0">
            <w:pPr>
              <w:pStyle w:val="Vade-Mecum0"/>
              <w:numPr>
                <w:ilvl w:val="0"/>
                <w:numId w:val="43"/>
              </w:numPr>
            </w:pPr>
            <w:r w:rsidRPr="00DA17B0">
              <w:t xml:space="preserve">liste des études et évaluations pertinentes au présent contrat qui ont été réalisées au cours des </w:t>
            </w:r>
            <w:r w:rsidR="00A147E6">
              <w:t>5</w:t>
            </w:r>
            <w:r w:rsidRPr="00DA17B0">
              <w:t xml:space="preserve"> dernières années ou qui sont maintenant réalisées par le soumissionnaire (pour les informations demandées, voir égalemen</w:t>
            </w:r>
            <w:r w:rsidRPr="00FB017C">
              <w:t>t A11.1)</w:t>
            </w:r>
            <w:r w:rsidRPr="00DA17B0">
              <w:t xml:space="preserve"> </w:t>
            </w:r>
          </w:p>
          <w:p w14:paraId="029ECB86" w14:textId="101B2635" w:rsidR="009816C4" w:rsidRDefault="00DA17B0" w:rsidP="00DA17B0">
            <w:pPr>
              <w:pStyle w:val="Vade-Mecum0"/>
              <w:numPr>
                <w:ilvl w:val="0"/>
                <w:numId w:val="43"/>
              </w:numPr>
            </w:pPr>
            <w:r w:rsidRPr="00DA17B0">
              <w:t>les statuts ou tout autre document utile démontrant le mandat du ou des signataires</w:t>
            </w:r>
            <w:r w:rsidR="009816C4">
              <w:t xml:space="preserve"> </w:t>
            </w:r>
            <w:r w:rsidRPr="00DA17B0">
              <w:t xml:space="preserve">; </w:t>
            </w:r>
          </w:p>
          <w:p w14:paraId="2F18BC1D" w14:textId="77777777" w:rsidR="009816C4" w:rsidRDefault="00DA17B0" w:rsidP="009816C4">
            <w:pPr>
              <w:pStyle w:val="Vade-Mecum0"/>
              <w:numPr>
                <w:ilvl w:val="0"/>
                <w:numId w:val="43"/>
              </w:numPr>
            </w:pPr>
            <w:r w:rsidRPr="00DA17B0">
              <w:t>le curriculum vitae détaillé des personnes proposées pour fournir les services décrits à la partie B. Le curriculum vitae des membres de l’équipe d’évaluation ainsi qu’une déclaration de disponibilité</w:t>
            </w:r>
            <w:r w:rsidR="009816C4">
              <w:t xml:space="preserve"> </w:t>
            </w:r>
            <w:r w:rsidRPr="00DA17B0">
              <w:t>;</w:t>
            </w:r>
          </w:p>
          <w:p w14:paraId="0C04056A" w14:textId="77777777" w:rsidR="009816C4" w:rsidRDefault="00DA17B0" w:rsidP="009816C4">
            <w:pPr>
              <w:pStyle w:val="Vade-Mecum0"/>
              <w:numPr>
                <w:ilvl w:val="0"/>
                <w:numId w:val="43"/>
              </w:numPr>
            </w:pPr>
            <w:r w:rsidRPr="00DA17B0">
              <w:t>description des mesures ESG (en matière environnemental, social et de gouvernance) auxquelles le soumissionnaire s’engage dans le cadre du présent contrat</w:t>
            </w:r>
            <w:r w:rsidR="009816C4">
              <w:t> ;</w:t>
            </w:r>
          </w:p>
          <w:p w14:paraId="1ED7D7C4" w14:textId="415F9C82" w:rsidR="00DA17B0" w:rsidRPr="00DA17B0" w:rsidRDefault="00DA17B0" w:rsidP="009816C4">
            <w:pPr>
              <w:pStyle w:val="Vade-Mecum0"/>
              <w:numPr>
                <w:ilvl w:val="0"/>
                <w:numId w:val="43"/>
              </w:numPr>
            </w:pPr>
            <w:r w:rsidRPr="00DA17B0">
              <w:t>le Document unique de marché européen (DUME)/ UEA</w:t>
            </w:r>
            <w:r w:rsidR="009816C4">
              <w:t>.</w:t>
            </w:r>
          </w:p>
        </w:tc>
      </w:tr>
    </w:tbl>
    <w:p w14:paraId="3328B40E" w14:textId="77777777" w:rsidR="00BF3335" w:rsidRPr="00DA17B0" w:rsidRDefault="00BF3335" w:rsidP="00BF3335">
      <w:pPr>
        <w:pStyle w:val="Vade-Mecum0"/>
      </w:pPr>
    </w:p>
    <w:p w14:paraId="24EC9282" w14:textId="22BD388E" w:rsidR="00BF3335" w:rsidRPr="00DA17B0" w:rsidRDefault="00BF3335" w:rsidP="00BF3335">
      <w:pPr>
        <w:pStyle w:val="Vade-Mecum0"/>
      </w:pPr>
    </w:p>
    <w:p w14:paraId="502F6352" w14:textId="4502226C" w:rsidR="00BF3335" w:rsidRPr="00DA17B0" w:rsidRDefault="00BF3335" w:rsidP="00BF3335">
      <w:pPr>
        <w:pStyle w:val="Vade-Mecum0"/>
      </w:pPr>
    </w:p>
    <w:p w14:paraId="7DEF56B5" w14:textId="61DE56E9" w:rsidR="00BF3335" w:rsidRPr="00DA17B0" w:rsidRDefault="00BF3335" w:rsidP="00BF3335">
      <w:pPr>
        <w:pStyle w:val="Vade-Mecum0"/>
      </w:pPr>
    </w:p>
    <w:p w14:paraId="29B91DE9" w14:textId="3DBD3163" w:rsidR="00BF3335" w:rsidRPr="00DA17B0" w:rsidRDefault="00BF3335" w:rsidP="00BF3335">
      <w:pPr>
        <w:pStyle w:val="Vade-Mecum0"/>
      </w:pPr>
    </w:p>
    <w:p w14:paraId="1E1C7038" w14:textId="77777777" w:rsidR="00BF3335" w:rsidRPr="00DA17B0" w:rsidRDefault="00BF3335" w:rsidP="00BF3335">
      <w:pPr>
        <w:pStyle w:val="Vade-Mecum0"/>
      </w:pPr>
    </w:p>
    <w:sectPr w:rsidR="00BF3335" w:rsidRPr="00DA17B0" w:rsidSect="004E29D6">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BA54" w14:textId="77777777" w:rsidR="00F91DDE" w:rsidRDefault="00F91DDE" w:rsidP="00B942FD">
      <w:pPr>
        <w:spacing w:after="0" w:line="240" w:lineRule="auto"/>
      </w:pPr>
      <w:r>
        <w:separator/>
      </w:r>
    </w:p>
  </w:endnote>
  <w:endnote w:type="continuationSeparator" w:id="0">
    <w:p w14:paraId="1736B079" w14:textId="77777777" w:rsidR="00F91DDE" w:rsidRDefault="00F91DDE" w:rsidP="00B942FD">
      <w:pPr>
        <w:spacing w:after="0" w:line="240" w:lineRule="auto"/>
      </w:pPr>
      <w:r>
        <w:continuationSeparator/>
      </w:r>
    </w:p>
  </w:endnote>
  <w:endnote w:type="continuationNotice" w:id="1">
    <w:p w14:paraId="7510CB00" w14:textId="77777777" w:rsidR="00F91DDE" w:rsidRDefault="00F91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ora">
    <w:panose1 w:val="00000000000000000000"/>
    <w:charset w:val="00"/>
    <w:family w:val="auto"/>
    <w:pitch w:val="variable"/>
    <w:sig w:usb0="A00002F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Lora Medium">
    <w:panose1 w:val="00000000000000000000"/>
    <w:charset w:val="00"/>
    <w:family w:val="auto"/>
    <w:pitch w:val="variable"/>
    <w:sig w:usb0="A00002FF" w:usb1="5000204B" w:usb2="00000000" w:usb3="00000000" w:csb0="00000097" w:csb1="00000000"/>
  </w:font>
  <w:font w:name="Roboto Medium">
    <w:panose1 w:val="02000000000000000000"/>
    <w:charset w:val="00"/>
    <w:family w:val="auto"/>
    <w:pitch w:val="variable"/>
    <w:sig w:usb0="E00002FF" w:usb1="5000205B" w:usb2="00000020" w:usb3="00000000" w:csb0="0000019F" w:csb1="00000000"/>
  </w:font>
  <w:font w:name="Arial Unicode MS">
    <w:panose1 w:val="020B0604020202020204"/>
    <w:charset w:val="00"/>
    <w:family w:val="roman"/>
    <w:pitch w:val="variable"/>
    <w:sig w:usb0="00000003" w:usb1="00000000" w:usb2="00000000" w:usb3="00000000" w:csb0="00000001"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A6A7" w14:textId="77777777" w:rsidR="00852A01" w:rsidRDefault="00852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76F3" w14:textId="77777777" w:rsidR="00852A01" w:rsidRDefault="00852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84D0" w14:textId="77777777" w:rsidR="00852A01" w:rsidRDefault="00852A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02D4" w14:textId="77777777" w:rsidR="00B10642" w:rsidRDefault="00B106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1196" w14:textId="7A7CC642" w:rsidR="00B10642" w:rsidRDefault="00B10642">
    <w:pPr>
      <w:pStyle w:val="Footer"/>
      <w:jc w:val="right"/>
    </w:pPr>
  </w:p>
  <w:p w14:paraId="26B7239D" w14:textId="77777777" w:rsidR="002A59FB" w:rsidRDefault="002A59FB" w:rsidP="005E4F5A">
    <w:pPr>
      <w:pStyle w:val="Footer"/>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A288" w14:textId="77777777" w:rsidR="00B10642" w:rsidRDefault="00B1064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8BCB" w14:textId="0AA4DB0E" w:rsidR="00BF3335" w:rsidRPr="009410E6" w:rsidRDefault="009410E6">
    <w:pPr>
      <w:pStyle w:val="Footer"/>
      <w:tabs>
        <w:tab w:val="right" w:pos="8931"/>
      </w:tabs>
      <w:snapToGrid w:val="0"/>
      <w:ind w:right="1"/>
      <w:rPr>
        <w:sz w:val="20"/>
        <w:szCs w:val="20"/>
        <w:lang w:val="nl-NL"/>
      </w:rPr>
    </w:pPr>
    <w:r w:rsidRPr="009410E6">
      <w:rPr>
        <w:rFonts w:eastAsia="Verdana" w:cs="Verdana"/>
        <w:sz w:val="20"/>
        <w:szCs w:val="20"/>
        <w:lang w:val="nl-NL"/>
      </w:rPr>
      <w:tab/>
    </w:r>
    <w:r w:rsidR="00BF3335" w:rsidRPr="009410E6">
      <w:rPr>
        <w:rFonts w:eastAsia="Verdana" w:cs="Verdana"/>
        <w:sz w:val="20"/>
        <w:szCs w:val="20"/>
        <w:lang w:val="nl-NL"/>
      </w:rPr>
      <w:tab/>
    </w:r>
    <w:r w:rsidR="00BF3335" w:rsidRPr="009410E6">
      <w:rPr>
        <w:sz w:val="20"/>
        <w:szCs w:val="20"/>
      </w:rPr>
      <w:fldChar w:fldCharType="begin"/>
    </w:r>
    <w:r w:rsidR="00BF3335" w:rsidRPr="009410E6">
      <w:rPr>
        <w:sz w:val="20"/>
        <w:szCs w:val="20"/>
      </w:rPr>
      <w:instrText>PAGE   \* MERGEFORMAT</w:instrText>
    </w:r>
    <w:r w:rsidR="00BF3335" w:rsidRPr="009410E6">
      <w:rPr>
        <w:sz w:val="20"/>
        <w:szCs w:val="20"/>
      </w:rPr>
      <w:fldChar w:fldCharType="separate"/>
    </w:r>
    <w:r w:rsidR="00BF3335" w:rsidRPr="009410E6">
      <w:rPr>
        <w:noProof/>
        <w:sz w:val="20"/>
        <w:szCs w:val="20"/>
        <w:lang w:val="nl-NL"/>
      </w:rPr>
      <w:t>29</w:t>
    </w:r>
    <w:r w:rsidR="00BF3335" w:rsidRPr="009410E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19918" w14:textId="77777777" w:rsidR="00F91DDE" w:rsidRDefault="00F91DDE" w:rsidP="00B942FD">
      <w:pPr>
        <w:spacing w:after="0" w:line="240" w:lineRule="auto"/>
      </w:pPr>
      <w:r>
        <w:separator/>
      </w:r>
    </w:p>
  </w:footnote>
  <w:footnote w:type="continuationSeparator" w:id="0">
    <w:p w14:paraId="6DF8CF9F" w14:textId="77777777" w:rsidR="00F91DDE" w:rsidRDefault="00F91DDE" w:rsidP="00B942FD">
      <w:pPr>
        <w:spacing w:after="0" w:line="240" w:lineRule="auto"/>
      </w:pPr>
      <w:r>
        <w:continuationSeparator/>
      </w:r>
    </w:p>
  </w:footnote>
  <w:footnote w:type="continuationNotice" w:id="1">
    <w:p w14:paraId="68686B08" w14:textId="77777777" w:rsidR="00F91DDE" w:rsidRDefault="00F91DDE">
      <w:pPr>
        <w:spacing w:after="0" w:line="240" w:lineRule="auto"/>
      </w:pPr>
    </w:p>
  </w:footnote>
  <w:footnote w:id="2">
    <w:p w14:paraId="6918D97F" w14:textId="40050030" w:rsidR="0061555B" w:rsidRPr="006E1904" w:rsidRDefault="0061555B">
      <w:pPr>
        <w:pStyle w:val="FootnoteText"/>
        <w:rPr>
          <w:lang w:val="fr-BE"/>
        </w:rPr>
      </w:pPr>
      <w:r>
        <w:rPr>
          <w:rStyle w:val="FootnoteReference"/>
        </w:rPr>
        <w:footnoteRef/>
      </w:r>
      <w:r w:rsidRPr="006E1904">
        <w:rPr>
          <w:lang w:val="fr-BE"/>
        </w:rPr>
        <w:t xml:space="preserve"> </w:t>
      </w:r>
      <w:r w:rsidRPr="00BE4548">
        <w:rPr>
          <w:rFonts w:ascii="Roboto" w:hAnsi="Roboto"/>
          <w:sz w:val="18"/>
          <w:szCs w:val="18"/>
          <w:lang w:val="fr-BE"/>
        </w:rPr>
        <w:t>Si applicable</w:t>
      </w:r>
    </w:p>
  </w:footnote>
  <w:footnote w:id="3">
    <w:p w14:paraId="2B24B595" w14:textId="7E4361F1" w:rsidR="00F34D2B" w:rsidRPr="00295223" w:rsidRDefault="00F34D2B" w:rsidP="00295223">
      <w:pPr>
        <w:pStyle w:val="FootnoteText"/>
        <w:jc w:val="both"/>
        <w:rPr>
          <w:rFonts w:ascii="Roboto" w:hAnsi="Roboto"/>
          <w:sz w:val="18"/>
          <w:szCs w:val="18"/>
          <w:lang w:val="fr-BE"/>
        </w:rPr>
      </w:pPr>
      <w:r w:rsidRPr="00295223">
        <w:rPr>
          <w:rStyle w:val="FootnoteReference"/>
          <w:rFonts w:ascii="Roboto" w:hAnsi="Roboto"/>
          <w:sz w:val="18"/>
          <w:szCs w:val="18"/>
        </w:rPr>
        <w:footnoteRef/>
      </w:r>
      <w:r w:rsidRPr="00295223">
        <w:rPr>
          <w:rFonts w:ascii="Roboto" w:hAnsi="Roboto"/>
          <w:sz w:val="18"/>
          <w:szCs w:val="18"/>
          <w:lang w:val="fr-BE"/>
        </w:rPr>
        <w:t xml:space="preserve"> </w:t>
      </w:r>
      <w:r w:rsidR="00295223" w:rsidRPr="00295223">
        <w:rPr>
          <w:rFonts w:ascii="Roboto" w:hAnsi="Roboto"/>
          <w:sz w:val="18"/>
          <w:szCs w:val="18"/>
          <w:lang w:val="fr-BE"/>
        </w:rPr>
        <w:t>Conformément à l’art. 4, 2) du RGPD, on entend par « traitement » toute opération ou tout ensemble d'opérations 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w:t>
      </w:r>
    </w:p>
  </w:footnote>
  <w:footnote w:id="4">
    <w:p w14:paraId="02ACE4DF" w14:textId="01DC6774" w:rsidR="000F3E96" w:rsidRPr="00A847AB" w:rsidRDefault="000F3E96">
      <w:pPr>
        <w:pStyle w:val="FootnoteText"/>
        <w:rPr>
          <w:lang w:val="fr-BE"/>
        </w:rPr>
      </w:pPr>
      <w:r>
        <w:rPr>
          <w:rStyle w:val="FootnoteReference"/>
        </w:rPr>
        <w:footnoteRef/>
      </w:r>
      <w:r w:rsidRPr="00A847AB">
        <w:rPr>
          <w:lang w:val="fr-BE"/>
        </w:rPr>
        <w:t xml:space="preserve"> </w:t>
      </w:r>
      <w:r w:rsidR="00A847AB" w:rsidRPr="00A847AB">
        <w:rPr>
          <w:rFonts w:ascii="Roboto" w:hAnsi="Roboto"/>
          <w:sz w:val="18"/>
          <w:szCs w:val="18"/>
          <w:lang w:val="fr-BE"/>
        </w:rPr>
        <w:t>La description du contexte international dans ces termes de référence s'inspire fortement du narratif du CAD de l'OCDE. Les évaluateurs sont libres d'inclure d'autres points de vue dans leur approche.</w:t>
      </w:r>
    </w:p>
  </w:footnote>
  <w:footnote w:id="5">
    <w:p w14:paraId="7CFE8FF4" w14:textId="77570479" w:rsidR="00032F62" w:rsidRPr="00620CCD" w:rsidRDefault="00032F62">
      <w:pPr>
        <w:pStyle w:val="FootnoteText"/>
        <w:rPr>
          <w:rFonts w:ascii="Roboto" w:hAnsi="Roboto"/>
          <w:sz w:val="18"/>
          <w:szCs w:val="18"/>
          <w:lang w:val="fr-BE"/>
        </w:rPr>
      </w:pPr>
      <w:r w:rsidRPr="00620CCD">
        <w:rPr>
          <w:rStyle w:val="FootnoteReference"/>
          <w:rFonts w:ascii="Roboto" w:hAnsi="Roboto"/>
          <w:sz w:val="18"/>
          <w:szCs w:val="18"/>
        </w:rPr>
        <w:footnoteRef/>
      </w:r>
      <w:r w:rsidRPr="00620CCD">
        <w:rPr>
          <w:rFonts w:ascii="Roboto" w:hAnsi="Roboto"/>
          <w:sz w:val="18"/>
          <w:szCs w:val="18"/>
          <w:lang w:val="fr-BE"/>
        </w:rPr>
        <w:t xml:space="preserve"> </w:t>
      </w:r>
      <w:hyperlink r:id="rId1" w:history="1">
        <w:r w:rsidR="00620CCD" w:rsidRPr="00A471A4">
          <w:rPr>
            <w:rStyle w:val="Hyperlink"/>
            <w:rFonts w:ascii="Roboto" w:hAnsi="Roboto"/>
            <w:sz w:val="18"/>
            <w:szCs w:val="18"/>
            <w:lang w:val="fr-BE"/>
          </w:rPr>
          <w:t>States of Fragility 2022 | en | OECD | OCDE</w:t>
        </w:r>
      </w:hyperlink>
    </w:p>
  </w:footnote>
  <w:footnote w:id="6">
    <w:p w14:paraId="4B0DED2F" w14:textId="035CD863" w:rsidR="00CB6498" w:rsidRPr="00CB6498" w:rsidRDefault="00CB6498" w:rsidP="00CB6498">
      <w:pPr>
        <w:pStyle w:val="FootnoteText"/>
        <w:jc w:val="both"/>
        <w:rPr>
          <w:lang w:val="fr-BE"/>
        </w:rPr>
      </w:pPr>
      <w:r>
        <w:rPr>
          <w:rStyle w:val="FootnoteReference"/>
        </w:rPr>
        <w:footnoteRef/>
      </w:r>
      <w:r w:rsidRPr="00CB6498">
        <w:rPr>
          <w:lang w:val="fr-BE"/>
        </w:rPr>
        <w:t xml:space="preserve"> </w:t>
      </w:r>
      <w:r w:rsidRPr="00CB6498">
        <w:rPr>
          <w:rFonts w:ascii="Roboto" w:hAnsi="Roboto"/>
          <w:sz w:val="18"/>
          <w:szCs w:val="18"/>
          <w:lang w:val="fr-BE"/>
        </w:rPr>
        <w:t>Afghanistan, Burundi, République centrafricaine, Tchad, Congo, RD Congo, Guinée équatoriale, Érythrée, Haïti, Irak, Somalie, Soudan du Sud, Soudan, République arabe syrienne, Yémen.</w:t>
      </w:r>
    </w:p>
  </w:footnote>
  <w:footnote w:id="7">
    <w:p w14:paraId="4DCA0241" w14:textId="77777777" w:rsidR="00CC51DC" w:rsidRPr="004101E2" w:rsidRDefault="00CC51DC" w:rsidP="00CC51DC">
      <w:pPr>
        <w:pStyle w:val="FootnoteText"/>
      </w:pPr>
      <w:r>
        <w:rPr>
          <w:rStyle w:val="FootnoteReference"/>
        </w:rPr>
        <w:footnoteRef/>
      </w:r>
      <w:r>
        <w:t xml:space="preserve"> </w:t>
      </w:r>
      <w:r w:rsidRPr="00A83ED2">
        <w:rPr>
          <w:rFonts w:ascii="Roboto" w:hAnsi="Roboto"/>
          <w:sz w:val="18"/>
          <w:szCs w:val="18"/>
        </w:rPr>
        <w:t>The International Network on Conflict and Fragility</w:t>
      </w:r>
    </w:p>
  </w:footnote>
  <w:footnote w:id="8">
    <w:p w14:paraId="01356C40" w14:textId="1D6608C4" w:rsidR="0045649F" w:rsidRPr="00D761BE" w:rsidRDefault="0045649F">
      <w:pPr>
        <w:pStyle w:val="FootnoteText"/>
        <w:rPr>
          <w:lang w:val="fr-BE"/>
        </w:rPr>
      </w:pPr>
      <w:r>
        <w:rPr>
          <w:rStyle w:val="FootnoteReference"/>
        </w:rPr>
        <w:footnoteRef/>
      </w:r>
      <w:r w:rsidRPr="00D761BE">
        <w:rPr>
          <w:rFonts w:ascii="Roboto" w:hAnsi="Roboto"/>
          <w:sz w:val="18"/>
          <w:szCs w:val="18"/>
          <w:lang w:val="fr-BE"/>
        </w:rPr>
        <w:t xml:space="preserve"> </w:t>
      </w:r>
      <w:hyperlink r:id="rId2" w:history="1">
        <w:r w:rsidR="00D761BE" w:rsidRPr="00D761BE">
          <w:rPr>
            <w:rStyle w:val="Hyperlink"/>
            <w:rFonts w:ascii="Roboto" w:hAnsi="Roboto"/>
            <w:sz w:val="18"/>
            <w:szCs w:val="18"/>
            <w:lang w:val="fr-BE"/>
          </w:rPr>
          <w:t>Examens de l'OCDE sur la coopération pour le développement : Belgique 2020 | fr | OCDE (oecd.org)</w:t>
        </w:r>
      </w:hyperlink>
    </w:p>
  </w:footnote>
  <w:footnote w:id="9">
    <w:p w14:paraId="24850DFF" w14:textId="6E431830" w:rsidR="00DD1C21" w:rsidRPr="00FB017C" w:rsidRDefault="00DD1C21" w:rsidP="00DD1C21">
      <w:pPr>
        <w:pStyle w:val="FootnoteText"/>
        <w:rPr>
          <w:rFonts w:ascii="Roboto" w:hAnsi="Roboto"/>
          <w:sz w:val="18"/>
          <w:szCs w:val="18"/>
          <w:lang w:val="fr-BE"/>
        </w:rPr>
      </w:pPr>
      <w:r w:rsidRPr="00FB017C">
        <w:rPr>
          <w:rStyle w:val="FootnoteReference"/>
          <w:rFonts w:ascii="Roboto" w:eastAsiaTheme="majorEastAsia" w:hAnsi="Roboto"/>
          <w:sz w:val="18"/>
          <w:szCs w:val="18"/>
        </w:rPr>
        <w:footnoteRef/>
      </w:r>
      <w:r w:rsidRPr="00FB017C">
        <w:rPr>
          <w:rFonts w:ascii="Roboto" w:hAnsi="Roboto"/>
          <w:sz w:val="18"/>
          <w:szCs w:val="18"/>
          <w:lang w:val="fr-BE"/>
        </w:rPr>
        <w:t xml:space="preserve"> </w:t>
      </w:r>
      <w:r w:rsidR="00B824E5" w:rsidRPr="00FB017C">
        <w:rPr>
          <w:rFonts w:ascii="Roboto" w:hAnsi="Roboto"/>
          <w:sz w:val="18"/>
          <w:szCs w:val="18"/>
          <w:lang w:val="fr-BE"/>
        </w:rPr>
        <w:t xml:space="preserve">Biffer la mention inutile  </w:t>
      </w:r>
    </w:p>
  </w:footnote>
  <w:footnote w:id="10">
    <w:p w14:paraId="1F76B7CC" w14:textId="0E2FAC1F" w:rsidR="00DD1C21" w:rsidRPr="00C81787" w:rsidRDefault="00DD1C21" w:rsidP="00DD1C21">
      <w:pPr>
        <w:pStyle w:val="FootnoteText"/>
        <w:rPr>
          <w:lang w:val="fr-BE"/>
        </w:rPr>
      </w:pPr>
      <w:r>
        <w:rPr>
          <w:rStyle w:val="FootnoteReference"/>
          <w:rFonts w:eastAsiaTheme="majorEastAsia"/>
        </w:rPr>
        <w:footnoteRef/>
      </w:r>
      <w:r w:rsidRPr="00C81787">
        <w:rPr>
          <w:lang w:val="fr-BE"/>
        </w:rPr>
        <w:t xml:space="preserve"> </w:t>
      </w:r>
      <w:r w:rsidR="00C81787" w:rsidRPr="00C81787">
        <w:rPr>
          <w:rFonts w:ascii="Roboto" w:hAnsi="Roboto"/>
          <w:sz w:val="16"/>
          <w:szCs w:val="16"/>
          <w:lang w:val="fr-BE"/>
        </w:rPr>
        <w:t>Biffer l</w:t>
      </w:r>
      <w:r w:rsidR="00C81787">
        <w:rPr>
          <w:rFonts w:ascii="Roboto" w:hAnsi="Roboto"/>
          <w:sz w:val="16"/>
          <w:szCs w:val="16"/>
          <w:lang w:val="fr-BE"/>
        </w:rPr>
        <w:t>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C25C" w14:textId="77777777" w:rsidR="00852A01" w:rsidRDefault="00852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EF35" w14:textId="00F771B7" w:rsidR="001C0F23" w:rsidRDefault="008D61E7">
    <w:pPr>
      <w:pStyle w:val="Header"/>
    </w:pPr>
    <w:r>
      <w:rPr>
        <w:noProof/>
      </w:rPr>
      <mc:AlternateContent>
        <mc:Choice Requires="wps">
          <w:drawing>
            <wp:anchor distT="0" distB="0" distL="114300" distR="114300" simplePos="0" relativeHeight="251673601" behindDoc="0" locked="0" layoutInCell="0" allowOverlap="1" wp14:anchorId="2FD21F8C" wp14:editId="171D41B4">
              <wp:simplePos x="0" y="0"/>
              <wp:positionH relativeFrom="page">
                <wp:align>center</wp:align>
              </wp:positionH>
              <wp:positionV relativeFrom="page">
                <wp:align>top</wp:align>
              </wp:positionV>
              <wp:extent cx="7772400" cy="463550"/>
              <wp:effectExtent l="0" t="0" r="0" b="12700"/>
              <wp:wrapNone/>
              <wp:docPr id="3" name="MSIPCM7c474a0f995b2ea5afcd5902" descr="{&quot;HashCode&quot;:214539155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99BB4F" w14:textId="62BDFD86" w:rsidR="008D61E7" w:rsidRPr="00852A01" w:rsidRDefault="00852A01" w:rsidP="00852A01">
                          <w:pPr>
                            <w:spacing w:after="0"/>
                            <w:rPr>
                              <w:rFonts w:ascii="Calibri" w:hAnsi="Calibri" w:cs="Calibri"/>
                              <w:color w:val="000000"/>
                              <w:sz w:val="20"/>
                            </w:rPr>
                          </w:pPr>
                          <w:r w:rsidRPr="00852A01">
                            <w:rPr>
                              <w:rFonts w:ascii="Calibri" w:hAnsi="Calibri" w:cs="Calibri"/>
                              <w:color w:val="000000"/>
                              <w:sz w:val="20"/>
                            </w:rPr>
                            <w:t>USAGE INTERNE - INTERN GEBRUIK</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FD21F8C" id="_x0000_t202" coordsize="21600,21600" o:spt="202" path="m,l,21600r21600,l21600,xe">
              <v:stroke joinstyle="miter"/>
              <v:path gradientshapeok="t" o:connecttype="rect"/>
            </v:shapetype>
            <v:shape id="MSIPCM7c474a0f995b2ea5afcd5902" o:spid="_x0000_s1030" type="#_x0000_t202" alt="{&quot;HashCode&quot;:2145391553,&quot;Height&quot;:9999999.0,&quot;Width&quot;:9999999.0,&quot;Placement&quot;:&quot;Header&quot;,&quot;Index&quot;:&quot;Primary&quot;,&quot;Section&quot;:1,&quot;Top&quot;:0.0,&quot;Left&quot;:0.0}" style="position:absolute;left:0;text-align:left;margin-left:0;margin-top:0;width:612pt;height:36.5pt;z-index:25167360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4599BB4F" w14:textId="62BDFD86" w:rsidR="008D61E7" w:rsidRPr="00852A01" w:rsidRDefault="00852A01" w:rsidP="00852A01">
                    <w:pPr>
                      <w:spacing w:after="0"/>
                      <w:rPr>
                        <w:rFonts w:ascii="Calibri" w:hAnsi="Calibri" w:cs="Calibri"/>
                        <w:color w:val="000000"/>
                        <w:sz w:val="20"/>
                      </w:rPr>
                    </w:pPr>
                    <w:r w:rsidRPr="00852A01">
                      <w:rPr>
                        <w:rFonts w:ascii="Calibri" w:hAnsi="Calibri" w:cs="Calibri"/>
                        <w:color w:val="000000"/>
                        <w:sz w:val="20"/>
                      </w:rPr>
                      <w:t>USAGE INTERNE - INTERN GEBRUIK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24B7" w14:textId="77777777" w:rsidR="00852A01" w:rsidRDefault="00852A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DD46" w14:textId="145218A3" w:rsidR="001863FD" w:rsidRPr="002E704D" w:rsidRDefault="004E29D6" w:rsidP="004E29D6">
    <w:pPr>
      <w:pStyle w:val="Header"/>
      <w:rPr>
        <w:rFonts w:ascii="Arial Unicode MS" w:eastAsia="Arial Unicode MS" w:hAnsi="Arial Unicode MS" w:cs="Arial Unicode MS"/>
        <w:color w:val="000000"/>
        <w:sz w:val="17"/>
        <w:lang w:val="de-DE"/>
      </w:rPr>
    </w:pPr>
    <w:bookmarkStart w:id="2" w:name="aliashStandardlabeling1r1HeaderEvenPages"/>
    <w:r w:rsidRPr="002E704D">
      <w:rPr>
        <w:rFonts w:ascii="Arial Unicode MS" w:eastAsia="Arial Unicode MS" w:hAnsi="Arial Unicode MS" w:cs="Arial Unicode MS"/>
        <w:color w:val="000000"/>
        <w:sz w:val="17"/>
        <w:lang w:val="de-DE"/>
      </w:rPr>
      <w:t>USAGE INTERNE - N5 - INTERN GEBRUIK</w:t>
    </w:r>
  </w:p>
  <w:bookmarkEnd w:id="2"/>
  <w:p w14:paraId="073B5365" w14:textId="77777777" w:rsidR="004E29D6" w:rsidRPr="002E704D" w:rsidRDefault="004E29D6">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9E95" w14:textId="1DB04E4C" w:rsidR="004E29D6" w:rsidRDefault="008D61E7">
    <w:pPr>
      <w:pStyle w:val="Header"/>
    </w:pPr>
    <w:r>
      <w:rPr>
        <w:noProof/>
      </w:rPr>
      <mc:AlternateContent>
        <mc:Choice Requires="wps">
          <w:drawing>
            <wp:anchor distT="0" distB="0" distL="114300" distR="114300" simplePos="0" relativeHeight="251674625" behindDoc="0" locked="0" layoutInCell="0" allowOverlap="1" wp14:anchorId="0FB88178" wp14:editId="7BCC857E">
              <wp:simplePos x="0" y="0"/>
              <wp:positionH relativeFrom="page">
                <wp:align>center</wp:align>
              </wp:positionH>
              <wp:positionV relativeFrom="page">
                <wp:align>top</wp:align>
              </wp:positionV>
              <wp:extent cx="7772400" cy="463550"/>
              <wp:effectExtent l="0" t="0" r="0" b="12700"/>
              <wp:wrapNone/>
              <wp:docPr id="4" name="MSIPCMafaa4115b6483dd49a160c77" descr="{&quot;HashCode&quot;:2145391553,&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37C42F" w14:textId="5C7CA39D" w:rsidR="008D61E7" w:rsidRPr="00852A01" w:rsidRDefault="00852A01" w:rsidP="00852A01">
                          <w:pPr>
                            <w:spacing w:after="0"/>
                            <w:rPr>
                              <w:rFonts w:ascii="Calibri" w:hAnsi="Calibri" w:cs="Calibri"/>
                              <w:color w:val="000000"/>
                              <w:sz w:val="20"/>
                            </w:rPr>
                          </w:pPr>
                          <w:r w:rsidRPr="00852A01">
                            <w:rPr>
                              <w:rFonts w:ascii="Calibri" w:hAnsi="Calibri" w:cs="Calibri"/>
                              <w:color w:val="000000"/>
                              <w:sz w:val="20"/>
                            </w:rPr>
                            <w:t>USAGE INTERNE - INTERN GEBRUIK</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FB88178" id="_x0000_t202" coordsize="21600,21600" o:spt="202" path="m,l,21600r21600,l21600,xe">
              <v:stroke joinstyle="miter"/>
              <v:path gradientshapeok="t" o:connecttype="rect"/>
            </v:shapetype>
            <v:shape id="MSIPCMafaa4115b6483dd49a160c77" o:spid="_x0000_s1031" type="#_x0000_t202" alt="{&quot;HashCode&quot;:2145391553,&quot;Height&quot;:9999999.0,&quot;Width&quot;:9999999.0,&quot;Placement&quot;:&quot;Header&quot;,&quot;Index&quot;:&quot;Primary&quot;,&quot;Section&quot;:2,&quot;Top&quot;:0.0,&quot;Left&quot;:0.0}" style="position:absolute;left:0;text-align:left;margin-left:0;margin-top:0;width:612pt;height:36.5pt;z-index:25167462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2C37C42F" w14:textId="5C7CA39D" w:rsidR="008D61E7" w:rsidRPr="00852A01" w:rsidRDefault="00852A01" w:rsidP="00852A01">
                    <w:pPr>
                      <w:spacing w:after="0"/>
                      <w:rPr>
                        <w:rFonts w:ascii="Calibri" w:hAnsi="Calibri" w:cs="Calibri"/>
                        <w:color w:val="000000"/>
                        <w:sz w:val="20"/>
                      </w:rPr>
                    </w:pPr>
                    <w:r w:rsidRPr="00852A01">
                      <w:rPr>
                        <w:rFonts w:ascii="Calibri" w:hAnsi="Calibri" w:cs="Calibri"/>
                        <w:color w:val="000000"/>
                        <w:sz w:val="20"/>
                      </w:rPr>
                      <w:t>USAGE INTERNE - INTERN GEBRUIK</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D6C2" w14:textId="5C5881AE" w:rsidR="001863FD" w:rsidRDefault="004E29D6" w:rsidP="004E29D6">
    <w:pPr>
      <w:pStyle w:val="Header"/>
      <w:rPr>
        <w:rFonts w:ascii="Arial Unicode MS" w:eastAsia="Arial Unicode MS" w:hAnsi="Arial Unicode MS" w:cs="Arial Unicode MS"/>
        <w:color w:val="000000"/>
        <w:sz w:val="17"/>
      </w:rPr>
    </w:pPr>
    <w:bookmarkStart w:id="3" w:name="aliashStandardlabeling1r1HeaderFirstPage"/>
    <w:r w:rsidRPr="004E29D6">
      <w:rPr>
        <w:rFonts w:ascii="Arial Unicode MS" w:eastAsia="Arial Unicode MS" w:hAnsi="Arial Unicode MS" w:cs="Arial Unicode MS"/>
        <w:color w:val="000000"/>
        <w:sz w:val="17"/>
      </w:rPr>
      <w:t>USAGE INTERNE - N5 - INTERN GEBRUIK</w:t>
    </w:r>
  </w:p>
  <w:bookmarkEnd w:id="3"/>
  <w:p w14:paraId="7AA7451F" w14:textId="77777777" w:rsidR="004E29D6" w:rsidRDefault="004E2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303B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7CAD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167C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CE55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2AF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A7E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D8B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A4F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3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7684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F12F8"/>
    <w:multiLevelType w:val="multilevel"/>
    <w:tmpl w:val="F1D05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3836D5D"/>
    <w:multiLevelType w:val="multilevel"/>
    <w:tmpl w:val="A69E9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ED146D"/>
    <w:multiLevelType w:val="hybridMultilevel"/>
    <w:tmpl w:val="5434DB64"/>
    <w:lvl w:ilvl="0" w:tplc="064CD008">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0B155836"/>
    <w:multiLevelType w:val="multilevel"/>
    <w:tmpl w:val="C44650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15" w15:restartNumberingAfterBreak="0">
    <w:nsid w:val="0CB40742"/>
    <w:multiLevelType w:val="hybridMultilevel"/>
    <w:tmpl w:val="68363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74564"/>
    <w:multiLevelType w:val="multilevel"/>
    <w:tmpl w:val="C538B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4496018"/>
    <w:multiLevelType w:val="hybridMultilevel"/>
    <w:tmpl w:val="0EDE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593892"/>
    <w:multiLevelType w:val="multilevel"/>
    <w:tmpl w:val="0848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774988"/>
    <w:multiLevelType w:val="multilevel"/>
    <w:tmpl w:val="0409001D"/>
    <w:numStyleLink w:val="Vade-mecum"/>
  </w:abstractNum>
  <w:abstractNum w:abstractNumId="20" w15:restartNumberingAfterBreak="0">
    <w:nsid w:val="1D214330"/>
    <w:multiLevelType w:val="multilevel"/>
    <w:tmpl w:val="B5007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22" w15:restartNumberingAfterBreak="0">
    <w:nsid w:val="25670B93"/>
    <w:multiLevelType w:val="multilevel"/>
    <w:tmpl w:val="7326DE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293C1E39"/>
    <w:multiLevelType w:val="multilevel"/>
    <w:tmpl w:val="0409001D"/>
    <w:styleLink w:val="Vade-mecum"/>
    <w:lvl w:ilvl="0">
      <w:start w:val="1"/>
      <w:numFmt w:val="decimal"/>
      <w:lvlText w:val="%1)"/>
      <w:lvlJc w:val="left"/>
      <w:pPr>
        <w:ind w:left="360" w:hanging="360"/>
      </w:pPr>
      <w:rPr>
        <w:rFonts w:asciiTheme="majorHAnsi" w:hAnsiTheme="majorHAnsi"/>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925AEB"/>
    <w:multiLevelType w:val="hybridMultilevel"/>
    <w:tmpl w:val="9C7CC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CB694D"/>
    <w:multiLevelType w:val="hybridMultilevel"/>
    <w:tmpl w:val="FDA093D2"/>
    <w:lvl w:ilvl="0" w:tplc="86DAEA96">
      <w:start w:val="14"/>
      <w:numFmt w:val="bullet"/>
      <w:lvlText w:val="-"/>
      <w:lvlJc w:val="left"/>
      <w:pPr>
        <w:ind w:left="720"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34639FD"/>
    <w:multiLevelType w:val="hybridMultilevel"/>
    <w:tmpl w:val="1240995A"/>
    <w:lvl w:ilvl="0" w:tplc="1DA8FC9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335740C9"/>
    <w:multiLevelType w:val="hybridMultilevel"/>
    <w:tmpl w:val="1D1620D0"/>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93C6251"/>
    <w:multiLevelType w:val="hybridMultilevel"/>
    <w:tmpl w:val="9EE06494"/>
    <w:lvl w:ilvl="0" w:tplc="1E26F144">
      <w:start w:val="1"/>
      <w:numFmt w:val="bullet"/>
      <w:lvlText w:val="-"/>
      <w:lvlJc w:val="left"/>
      <w:pPr>
        <w:ind w:left="360" w:hanging="36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ECEE1AAE">
      <w:numFmt w:val="bullet"/>
      <w:lvlText w:val=""/>
      <w:lvlJc w:val="left"/>
      <w:pPr>
        <w:ind w:left="1800" w:hanging="360"/>
      </w:pPr>
      <w:rPr>
        <w:rFonts w:ascii="Symbol" w:eastAsia="Times New Roman" w:hAnsi="Symbol" w:cs="Aria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3CC22164"/>
    <w:multiLevelType w:val="multilevel"/>
    <w:tmpl w:val="4E4E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A426AB"/>
    <w:multiLevelType w:val="multilevel"/>
    <w:tmpl w:val="4454C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AE5172"/>
    <w:multiLevelType w:val="hybridMultilevel"/>
    <w:tmpl w:val="8C32BE0C"/>
    <w:lvl w:ilvl="0" w:tplc="6942807E">
      <w:start w:val="1"/>
      <w:numFmt w:val="bullet"/>
      <w:lvlText w:val="-"/>
      <w:lvlJc w:val="left"/>
      <w:pPr>
        <w:ind w:left="283" w:hanging="360"/>
      </w:pPr>
      <w:rPr>
        <w:rFonts w:ascii="Verdana" w:hAnsi="Verdana" w:hint="default"/>
      </w:rPr>
    </w:lvl>
    <w:lvl w:ilvl="1" w:tplc="05E80ECE">
      <w:start w:val="1"/>
      <w:numFmt w:val="bullet"/>
      <w:lvlText w:val="o"/>
      <w:lvlJc w:val="left"/>
      <w:pPr>
        <w:ind w:left="1440" w:hanging="360"/>
      </w:pPr>
      <w:rPr>
        <w:rFonts w:ascii="Courier New" w:hAnsi="Courier New" w:hint="default"/>
      </w:rPr>
    </w:lvl>
    <w:lvl w:ilvl="2" w:tplc="4230AE44">
      <w:start w:val="1"/>
      <w:numFmt w:val="bullet"/>
      <w:lvlText w:val=""/>
      <w:lvlJc w:val="left"/>
      <w:pPr>
        <w:ind w:left="2160" w:hanging="360"/>
      </w:pPr>
      <w:rPr>
        <w:rFonts w:ascii="Wingdings" w:hAnsi="Wingdings" w:hint="default"/>
      </w:rPr>
    </w:lvl>
    <w:lvl w:ilvl="3" w:tplc="FFBA377E">
      <w:start w:val="1"/>
      <w:numFmt w:val="bullet"/>
      <w:lvlText w:val=""/>
      <w:lvlJc w:val="left"/>
      <w:pPr>
        <w:ind w:left="2880" w:hanging="360"/>
      </w:pPr>
      <w:rPr>
        <w:rFonts w:ascii="Symbol" w:hAnsi="Symbol" w:hint="default"/>
      </w:rPr>
    </w:lvl>
    <w:lvl w:ilvl="4" w:tplc="578054F6">
      <w:start w:val="1"/>
      <w:numFmt w:val="bullet"/>
      <w:lvlText w:val="o"/>
      <w:lvlJc w:val="left"/>
      <w:pPr>
        <w:ind w:left="3600" w:hanging="360"/>
      </w:pPr>
      <w:rPr>
        <w:rFonts w:ascii="Courier New" w:hAnsi="Courier New" w:hint="default"/>
      </w:rPr>
    </w:lvl>
    <w:lvl w:ilvl="5" w:tplc="C1A43854">
      <w:start w:val="1"/>
      <w:numFmt w:val="bullet"/>
      <w:lvlText w:val=""/>
      <w:lvlJc w:val="left"/>
      <w:pPr>
        <w:ind w:left="4320" w:hanging="360"/>
      </w:pPr>
      <w:rPr>
        <w:rFonts w:ascii="Wingdings" w:hAnsi="Wingdings" w:hint="default"/>
      </w:rPr>
    </w:lvl>
    <w:lvl w:ilvl="6" w:tplc="52E8F010">
      <w:start w:val="1"/>
      <w:numFmt w:val="bullet"/>
      <w:lvlText w:val=""/>
      <w:lvlJc w:val="left"/>
      <w:pPr>
        <w:ind w:left="5040" w:hanging="360"/>
      </w:pPr>
      <w:rPr>
        <w:rFonts w:ascii="Symbol" w:hAnsi="Symbol" w:hint="default"/>
      </w:rPr>
    </w:lvl>
    <w:lvl w:ilvl="7" w:tplc="474478A0">
      <w:start w:val="1"/>
      <w:numFmt w:val="bullet"/>
      <w:lvlText w:val="o"/>
      <w:lvlJc w:val="left"/>
      <w:pPr>
        <w:ind w:left="5760" w:hanging="360"/>
      </w:pPr>
      <w:rPr>
        <w:rFonts w:ascii="Courier New" w:hAnsi="Courier New" w:hint="default"/>
      </w:rPr>
    </w:lvl>
    <w:lvl w:ilvl="8" w:tplc="F0E05B46">
      <w:start w:val="1"/>
      <w:numFmt w:val="bullet"/>
      <w:lvlText w:val=""/>
      <w:lvlJc w:val="left"/>
      <w:pPr>
        <w:ind w:left="6480" w:hanging="360"/>
      </w:pPr>
      <w:rPr>
        <w:rFonts w:ascii="Wingdings" w:hAnsi="Wingdings" w:hint="default"/>
      </w:rPr>
    </w:lvl>
  </w:abstractNum>
  <w:abstractNum w:abstractNumId="32" w15:restartNumberingAfterBreak="0">
    <w:nsid w:val="46626DA5"/>
    <w:multiLevelType w:val="hybridMultilevel"/>
    <w:tmpl w:val="03B6D606"/>
    <w:lvl w:ilvl="0" w:tplc="115AE94E">
      <w:start w:val="4"/>
      <w:numFmt w:val="bullet"/>
      <w:lvlText w:val="-"/>
      <w:lvlJc w:val="left"/>
      <w:pPr>
        <w:tabs>
          <w:tab w:val="num" w:pos="360"/>
        </w:tabs>
        <w:ind w:left="360" w:hanging="360"/>
      </w:pPr>
      <w:rPr>
        <w:rFonts w:ascii="Verdana" w:eastAsia="Times New Roman" w:hAnsi="Verdana"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9ED5593"/>
    <w:multiLevelType w:val="hybridMultilevel"/>
    <w:tmpl w:val="53CE6B0E"/>
    <w:lvl w:ilvl="0" w:tplc="86DAEA96">
      <w:start w:val="14"/>
      <w:numFmt w:val="bullet"/>
      <w:lvlText w:val="-"/>
      <w:lvlJc w:val="left"/>
      <w:pPr>
        <w:tabs>
          <w:tab w:val="num" w:pos="360"/>
        </w:tabs>
        <w:ind w:left="36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D611FB"/>
    <w:multiLevelType w:val="hybridMultilevel"/>
    <w:tmpl w:val="F3C0A120"/>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0A938CB"/>
    <w:multiLevelType w:val="multilevel"/>
    <w:tmpl w:val="D0C49914"/>
    <w:lvl w:ilvl="0">
      <w:start w:val="1"/>
      <w:numFmt w:val="decimal"/>
      <w:pStyle w:val="Heading1"/>
      <w:lvlText w:val="%1"/>
      <w:lvlJc w:val="left"/>
      <w:pPr>
        <w:ind w:left="432" w:hanging="432"/>
      </w:pPr>
    </w:lvl>
    <w:lvl w:ilvl="1">
      <w:start w:val="1"/>
      <w:numFmt w:val="decimal"/>
      <w:pStyle w:val="Heading2"/>
      <w:lvlText w:val=""/>
      <w:lvlJc w:val="left"/>
      <w:rPr>
        <w:b/>
        <w:bCs w:val="0"/>
        <w:i w:val="0"/>
        <w:iCs w:val="0"/>
        <w:caps w:val="0"/>
        <w:smallCaps w:val="0"/>
        <w:strike w:val="0"/>
        <w:dstrike w:val="0"/>
        <w:noProof w:val="0"/>
        <w:vanish w:val="0"/>
        <w:color w:val="897464"/>
        <w:spacing w:val="0"/>
        <w:kern w:val="0"/>
        <w:position w:val="0"/>
        <w:u w:val="none"/>
        <w:effect w:val="none"/>
        <w:vertAlign w:val="baseline"/>
        <w:em w:val="none"/>
        <w:specVanish w:val="0"/>
      </w:r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rPr>
        <w:rFonts w:ascii="Symbol" w:hAnsi="Courier New" w:cs="Courier New" w:hint="default"/>
        <w:sz w:val="20"/>
        <w14:glow w14:rad="0">
          <w14:srgbClr w14:val="000000"/>
        </w14:glow>
        <w14:scene3d>
          <w14:camera w14:prst="orthographicFront"/>
          <w14:lightRig w14:rig="threePt" w14:dir="t">
            <w14:rot w14:lat="0" w14:lon="0" w14:rev="0"/>
          </w14:lightRig>
        </w14:scene3d>
      </w:rPr>
    </w:lvl>
  </w:abstractNum>
  <w:abstractNum w:abstractNumId="36" w15:restartNumberingAfterBreak="0">
    <w:nsid w:val="54546941"/>
    <w:multiLevelType w:val="multilevel"/>
    <w:tmpl w:val="7AEC0C02"/>
    <w:lvl w:ilvl="0">
      <w:numFmt w:val="decimal"/>
      <w:lvlText w:val=""/>
      <w:lvlJc w:val="left"/>
    </w:lvl>
    <w:lvl w:ilvl="1">
      <w:numFmt w:val="decimal"/>
      <w:lvlText w:val=""/>
      <w:lvlJc w:val="left"/>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37" w15:restartNumberingAfterBreak="0">
    <w:nsid w:val="56CD4072"/>
    <w:multiLevelType w:val="hybridMultilevel"/>
    <w:tmpl w:val="1708E998"/>
    <w:lvl w:ilvl="0" w:tplc="44E43D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 w15:restartNumberingAfterBreak="0">
    <w:nsid w:val="576D4553"/>
    <w:multiLevelType w:val="hybridMultilevel"/>
    <w:tmpl w:val="9676AA0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431CF5"/>
    <w:multiLevelType w:val="hybridMultilevel"/>
    <w:tmpl w:val="6934639E"/>
    <w:lvl w:ilvl="0" w:tplc="23D6190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5FBE4313"/>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41" w15:restartNumberingAfterBreak="0">
    <w:nsid w:val="617C295E"/>
    <w:multiLevelType w:val="multilevel"/>
    <w:tmpl w:val="699031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6A633B5"/>
    <w:multiLevelType w:val="hybridMultilevel"/>
    <w:tmpl w:val="C3B0B464"/>
    <w:lvl w:ilvl="0" w:tplc="FFFFFFFF">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85C5666"/>
    <w:multiLevelType w:val="multilevel"/>
    <w:tmpl w:val="96CECE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87814FA"/>
    <w:multiLevelType w:val="hybridMultilevel"/>
    <w:tmpl w:val="4544D1C0"/>
    <w:lvl w:ilvl="0" w:tplc="BABC6586">
      <w:start w:val="1"/>
      <w:numFmt w:val="bullet"/>
      <w:lvlText w:val="-"/>
      <w:lvlJc w:val="left"/>
      <w:pPr>
        <w:ind w:left="360" w:hanging="360"/>
      </w:pPr>
      <w:rPr>
        <w:rFonts w:ascii="Verdana" w:eastAsia="Times New Roman" w:hAnsi="Verdan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6C640DE4"/>
    <w:multiLevelType w:val="hybridMultilevel"/>
    <w:tmpl w:val="34AAAC50"/>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4EE22F9"/>
    <w:multiLevelType w:val="multilevel"/>
    <w:tmpl w:val="AACCD7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864A16"/>
    <w:multiLevelType w:val="multilevel"/>
    <w:tmpl w:val="DF2E9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BA961A4"/>
    <w:multiLevelType w:val="hybridMultilevel"/>
    <w:tmpl w:val="3F3AFE02"/>
    <w:lvl w:ilvl="0" w:tplc="AF306CF4">
      <w:numFmt w:val="decimal"/>
      <w:lvlText w:val=""/>
      <w:lvlJc w:val="left"/>
    </w:lvl>
    <w:lvl w:ilvl="1" w:tplc="20000003">
      <w:numFmt w:val="decimal"/>
      <w:lvlText w:val=""/>
      <w:lvlJc w:val="left"/>
    </w:lvl>
    <w:lvl w:ilvl="2" w:tplc="20000005">
      <w:numFmt w:val="decimal"/>
      <w:lvlText w:val=""/>
      <w:lvlJc w:val="left"/>
    </w:lvl>
    <w:lvl w:ilvl="3" w:tplc="20000001">
      <w:numFmt w:val="decimal"/>
      <w:lvlText w:val=""/>
      <w:lvlJc w:val="left"/>
    </w:lvl>
    <w:lvl w:ilvl="4" w:tplc="20000003">
      <w:numFmt w:val="decimal"/>
      <w:lvlText w:val=""/>
      <w:lvlJc w:val="left"/>
    </w:lvl>
    <w:lvl w:ilvl="5" w:tplc="20000005">
      <w:numFmt w:val="decimal"/>
      <w:lvlText w:val=""/>
      <w:lvlJc w:val="left"/>
    </w:lvl>
    <w:lvl w:ilvl="6" w:tplc="20000001">
      <w:numFmt w:val="decimal"/>
      <w:lvlText w:val=""/>
      <w:lvlJc w:val="left"/>
    </w:lvl>
    <w:lvl w:ilvl="7" w:tplc="20000003">
      <w:numFmt w:val="decimal"/>
      <w:lvlText w:val=""/>
      <w:lvlJc w:val="left"/>
    </w:lvl>
    <w:lvl w:ilvl="8" w:tplc="20000005">
      <w:numFmt w:val="decimal"/>
      <w:lvlText w:val=""/>
      <w:lvlJc w:val="left"/>
    </w:lvl>
  </w:abstractNum>
  <w:abstractNum w:abstractNumId="49" w15:restartNumberingAfterBreak="0">
    <w:nsid w:val="7F05361D"/>
    <w:multiLevelType w:val="multilevel"/>
    <w:tmpl w:val="5C92CD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08748770">
    <w:abstractNumId w:val="31"/>
  </w:num>
  <w:num w:numId="2" w16cid:durableId="2021199872">
    <w:abstractNumId w:val="24"/>
  </w:num>
  <w:num w:numId="3" w16cid:durableId="121732077">
    <w:abstractNumId w:val="15"/>
  </w:num>
  <w:num w:numId="4" w16cid:durableId="1962179708">
    <w:abstractNumId w:val="35"/>
  </w:num>
  <w:num w:numId="5" w16cid:durableId="13442838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4833693">
    <w:abstractNumId w:val="23"/>
  </w:num>
  <w:num w:numId="7" w16cid:durableId="1963268802">
    <w:abstractNumId w:val="19"/>
  </w:num>
  <w:num w:numId="8" w16cid:durableId="1911503122">
    <w:abstractNumId w:val="17"/>
  </w:num>
  <w:num w:numId="9" w16cid:durableId="972751250">
    <w:abstractNumId w:val="8"/>
  </w:num>
  <w:num w:numId="10" w16cid:durableId="738984924">
    <w:abstractNumId w:val="3"/>
  </w:num>
  <w:num w:numId="11" w16cid:durableId="1334795709">
    <w:abstractNumId w:val="2"/>
  </w:num>
  <w:num w:numId="12" w16cid:durableId="1178420203">
    <w:abstractNumId w:val="1"/>
  </w:num>
  <w:num w:numId="13" w16cid:durableId="2085372148">
    <w:abstractNumId w:val="0"/>
  </w:num>
  <w:num w:numId="14" w16cid:durableId="1487041735">
    <w:abstractNumId w:val="9"/>
  </w:num>
  <w:num w:numId="15" w16cid:durableId="1420104288">
    <w:abstractNumId w:val="7"/>
  </w:num>
  <w:num w:numId="16" w16cid:durableId="1886791014">
    <w:abstractNumId w:val="6"/>
  </w:num>
  <w:num w:numId="17" w16cid:durableId="1328241649">
    <w:abstractNumId w:val="5"/>
  </w:num>
  <w:num w:numId="18" w16cid:durableId="1872836300">
    <w:abstractNumId w:val="4"/>
  </w:num>
  <w:num w:numId="19" w16cid:durableId="664866030">
    <w:abstractNumId w:val="37"/>
  </w:num>
  <w:num w:numId="20" w16cid:durableId="969164800">
    <w:abstractNumId w:val="11"/>
  </w:num>
  <w:num w:numId="21" w16cid:durableId="2136214921">
    <w:abstractNumId w:val="20"/>
  </w:num>
  <w:num w:numId="22" w16cid:durableId="1315796631">
    <w:abstractNumId w:val="46"/>
  </w:num>
  <w:num w:numId="23" w16cid:durableId="1911689222">
    <w:abstractNumId w:val="30"/>
  </w:num>
  <w:num w:numId="24" w16cid:durableId="209390860">
    <w:abstractNumId w:val="10"/>
  </w:num>
  <w:num w:numId="25" w16cid:durableId="505751861">
    <w:abstractNumId w:val="47"/>
  </w:num>
  <w:num w:numId="26" w16cid:durableId="1648971461">
    <w:abstractNumId w:val="43"/>
  </w:num>
  <w:num w:numId="27" w16cid:durableId="1114404426">
    <w:abstractNumId w:val="16"/>
  </w:num>
  <w:num w:numId="28" w16cid:durableId="521435720">
    <w:abstractNumId w:val="13"/>
  </w:num>
  <w:num w:numId="29" w16cid:durableId="1369180760">
    <w:abstractNumId w:val="49"/>
  </w:num>
  <w:num w:numId="30" w16cid:durableId="458377076">
    <w:abstractNumId w:val="36"/>
  </w:num>
  <w:num w:numId="31" w16cid:durableId="529294900">
    <w:abstractNumId w:val="48"/>
  </w:num>
  <w:num w:numId="32" w16cid:durableId="1586650174">
    <w:abstractNumId w:val="26"/>
  </w:num>
  <w:num w:numId="33" w16cid:durableId="1430128015">
    <w:abstractNumId w:val="28"/>
  </w:num>
  <w:num w:numId="34" w16cid:durableId="1872036642">
    <w:abstractNumId w:val="42"/>
  </w:num>
  <w:num w:numId="35" w16cid:durableId="1371418225">
    <w:abstractNumId w:val="21"/>
  </w:num>
  <w:num w:numId="36" w16cid:durableId="1510759077">
    <w:abstractNumId w:val="40"/>
  </w:num>
  <w:num w:numId="37" w16cid:durableId="916521894">
    <w:abstractNumId w:val="44"/>
  </w:num>
  <w:num w:numId="38" w16cid:durableId="511993440">
    <w:abstractNumId w:val="25"/>
  </w:num>
  <w:num w:numId="39" w16cid:durableId="2042434170">
    <w:abstractNumId w:val="33"/>
  </w:num>
  <w:num w:numId="40" w16cid:durableId="1954097492">
    <w:abstractNumId w:val="12"/>
  </w:num>
  <w:num w:numId="41" w16cid:durableId="1558590539">
    <w:abstractNumId w:val="32"/>
  </w:num>
  <w:num w:numId="42" w16cid:durableId="1482774165">
    <w:abstractNumId w:val="38"/>
  </w:num>
  <w:num w:numId="43" w16cid:durableId="1198666055">
    <w:abstractNumId w:val="14"/>
  </w:num>
  <w:num w:numId="44" w16cid:durableId="1373968260">
    <w:abstractNumId w:val="18"/>
  </w:num>
  <w:num w:numId="45" w16cid:durableId="1401708901">
    <w:abstractNumId w:val="41"/>
  </w:num>
  <w:num w:numId="46" w16cid:durableId="785127149">
    <w:abstractNumId w:val="22"/>
  </w:num>
  <w:num w:numId="47" w16cid:durableId="920336462">
    <w:abstractNumId w:val="29"/>
  </w:num>
  <w:num w:numId="48" w16cid:durableId="916741967">
    <w:abstractNumId w:val="39"/>
  </w:num>
  <w:num w:numId="49" w16cid:durableId="1966306654">
    <w:abstractNumId w:val="45"/>
  </w:num>
  <w:num w:numId="50" w16cid:durableId="1573269116">
    <w:abstractNumId w:val="27"/>
  </w:num>
  <w:num w:numId="51" w16cid:durableId="43563946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FD"/>
    <w:rsid w:val="00000A94"/>
    <w:rsid w:val="0000153F"/>
    <w:rsid w:val="000030C0"/>
    <w:rsid w:val="00010239"/>
    <w:rsid w:val="00010D3E"/>
    <w:rsid w:val="00012F7B"/>
    <w:rsid w:val="00013539"/>
    <w:rsid w:val="00013A10"/>
    <w:rsid w:val="000160DE"/>
    <w:rsid w:val="00016986"/>
    <w:rsid w:val="00020BEB"/>
    <w:rsid w:val="00026A9C"/>
    <w:rsid w:val="0002771E"/>
    <w:rsid w:val="00032F62"/>
    <w:rsid w:val="000336DA"/>
    <w:rsid w:val="00033F73"/>
    <w:rsid w:val="00036AE7"/>
    <w:rsid w:val="00036D38"/>
    <w:rsid w:val="000419D1"/>
    <w:rsid w:val="000419F5"/>
    <w:rsid w:val="00042D79"/>
    <w:rsid w:val="00043148"/>
    <w:rsid w:val="00044300"/>
    <w:rsid w:val="00044827"/>
    <w:rsid w:val="0004509F"/>
    <w:rsid w:val="00047265"/>
    <w:rsid w:val="0004792E"/>
    <w:rsid w:val="00050680"/>
    <w:rsid w:val="00050ED6"/>
    <w:rsid w:val="000521E5"/>
    <w:rsid w:val="000535D6"/>
    <w:rsid w:val="0005424C"/>
    <w:rsid w:val="00054D99"/>
    <w:rsid w:val="00057C1B"/>
    <w:rsid w:val="000615C1"/>
    <w:rsid w:val="00061B70"/>
    <w:rsid w:val="0006317B"/>
    <w:rsid w:val="000632C1"/>
    <w:rsid w:val="00063860"/>
    <w:rsid w:val="00064750"/>
    <w:rsid w:val="00065379"/>
    <w:rsid w:val="00065605"/>
    <w:rsid w:val="000658ED"/>
    <w:rsid w:val="0006618F"/>
    <w:rsid w:val="00066ADA"/>
    <w:rsid w:val="00067B1E"/>
    <w:rsid w:val="0007045F"/>
    <w:rsid w:val="000729C1"/>
    <w:rsid w:val="0007396F"/>
    <w:rsid w:val="000767F9"/>
    <w:rsid w:val="00076A65"/>
    <w:rsid w:val="0007766E"/>
    <w:rsid w:val="00077980"/>
    <w:rsid w:val="000829EB"/>
    <w:rsid w:val="00082A16"/>
    <w:rsid w:val="00082A9B"/>
    <w:rsid w:val="000840F2"/>
    <w:rsid w:val="00086013"/>
    <w:rsid w:val="00086817"/>
    <w:rsid w:val="00092EB7"/>
    <w:rsid w:val="000931E0"/>
    <w:rsid w:val="0009479B"/>
    <w:rsid w:val="000962A6"/>
    <w:rsid w:val="000971C0"/>
    <w:rsid w:val="000A0D1F"/>
    <w:rsid w:val="000A0F17"/>
    <w:rsid w:val="000A3006"/>
    <w:rsid w:val="000A3B44"/>
    <w:rsid w:val="000A5BAE"/>
    <w:rsid w:val="000A7A26"/>
    <w:rsid w:val="000A7F81"/>
    <w:rsid w:val="000B003E"/>
    <w:rsid w:val="000B07D7"/>
    <w:rsid w:val="000B085E"/>
    <w:rsid w:val="000B18E6"/>
    <w:rsid w:val="000B58F8"/>
    <w:rsid w:val="000B6AE4"/>
    <w:rsid w:val="000B7A5D"/>
    <w:rsid w:val="000C2F99"/>
    <w:rsid w:val="000C341A"/>
    <w:rsid w:val="000C5968"/>
    <w:rsid w:val="000C7644"/>
    <w:rsid w:val="000D1FB5"/>
    <w:rsid w:val="000D5B02"/>
    <w:rsid w:val="000D5FA7"/>
    <w:rsid w:val="000E0791"/>
    <w:rsid w:val="000E1876"/>
    <w:rsid w:val="000E1DF6"/>
    <w:rsid w:val="000E3FAF"/>
    <w:rsid w:val="000F0EDE"/>
    <w:rsid w:val="000F3E96"/>
    <w:rsid w:val="000F4B6F"/>
    <w:rsid w:val="000F4C9B"/>
    <w:rsid w:val="001010C0"/>
    <w:rsid w:val="00101906"/>
    <w:rsid w:val="00102E19"/>
    <w:rsid w:val="00103E31"/>
    <w:rsid w:val="0010400E"/>
    <w:rsid w:val="001055E0"/>
    <w:rsid w:val="00105611"/>
    <w:rsid w:val="001148B0"/>
    <w:rsid w:val="00115287"/>
    <w:rsid w:val="00117AAA"/>
    <w:rsid w:val="001206F3"/>
    <w:rsid w:val="00121091"/>
    <w:rsid w:val="001214D4"/>
    <w:rsid w:val="00122D56"/>
    <w:rsid w:val="001244CA"/>
    <w:rsid w:val="00125ECF"/>
    <w:rsid w:val="00126507"/>
    <w:rsid w:val="0013083C"/>
    <w:rsid w:val="001339FE"/>
    <w:rsid w:val="00134CC5"/>
    <w:rsid w:val="0013631F"/>
    <w:rsid w:val="00136810"/>
    <w:rsid w:val="0013710F"/>
    <w:rsid w:val="0014063F"/>
    <w:rsid w:val="00141C34"/>
    <w:rsid w:val="0014256C"/>
    <w:rsid w:val="00142DCC"/>
    <w:rsid w:val="00142E84"/>
    <w:rsid w:val="00142F56"/>
    <w:rsid w:val="001440D5"/>
    <w:rsid w:val="00147818"/>
    <w:rsid w:val="00147F62"/>
    <w:rsid w:val="0015271F"/>
    <w:rsid w:val="00152D9E"/>
    <w:rsid w:val="00155572"/>
    <w:rsid w:val="001563FC"/>
    <w:rsid w:val="00156C7F"/>
    <w:rsid w:val="001571F3"/>
    <w:rsid w:val="00157593"/>
    <w:rsid w:val="00157EC5"/>
    <w:rsid w:val="00160071"/>
    <w:rsid w:val="00161B0F"/>
    <w:rsid w:val="00164837"/>
    <w:rsid w:val="0017060C"/>
    <w:rsid w:val="001715EA"/>
    <w:rsid w:val="00171C97"/>
    <w:rsid w:val="001726F0"/>
    <w:rsid w:val="00173D3D"/>
    <w:rsid w:val="001777AE"/>
    <w:rsid w:val="0018007B"/>
    <w:rsid w:val="0018104D"/>
    <w:rsid w:val="00182AAF"/>
    <w:rsid w:val="00183B91"/>
    <w:rsid w:val="0018575E"/>
    <w:rsid w:val="001863FD"/>
    <w:rsid w:val="0018700E"/>
    <w:rsid w:val="00191117"/>
    <w:rsid w:val="0019242C"/>
    <w:rsid w:val="00194B3D"/>
    <w:rsid w:val="00196832"/>
    <w:rsid w:val="00196F51"/>
    <w:rsid w:val="001A322D"/>
    <w:rsid w:val="001A3483"/>
    <w:rsid w:val="001A4B6B"/>
    <w:rsid w:val="001A54F8"/>
    <w:rsid w:val="001A57EC"/>
    <w:rsid w:val="001A663C"/>
    <w:rsid w:val="001B1FFE"/>
    <w:rsid w:val="001B2ECA"/>
    <w:rsid w:val="001B315B"/>
    <w:rsid w:val="001C0F23"/>
    <w:rsid w:val="001C32EC"/>
    <w:rsid w:val="001C47E9"/>
    <w:rsid w:val="001C7721"/>
    <w:rsid w:val="001C7842"/>
    <w:rsid w:val="001D0045"/>
    <w:rsid w:val="001D0621"/>
    <w:rsid w:val="001D5719"/>
    <w:rsid w:val="001D5CDD"/>
    <w:rsid w:val="001D6AFE"/>
    <w:rsid w:val="001D6B9F"/>
    <w:rsid w:val="001D6EB2"/>
    <w:rsid w:val="001D7542"/>
    <w:rsid w:val="001E213B"/>
    <w:rsid w:val="001E481C"/>
    <w:rsid w:val="001E499B"/>
    <w:rsid w:val="001E5585"/>
    <w:rsid w:val="001E5DDE"/>
    <w:rsid w:val="001F2566"/>
    <w:rsid w:val="001F279F"/>
    <w:rsid w:val="001F3618"/>
    <w:rsid w:val="001F54F4"/>
    <w:rsid w:val="001F79B1"/>
    <w:rsid w:val="0020194D"/>
    <w:rsid w:val="00201E1C"/>
    <w:rsid w:val="00203647"/>
    <w:rsid w:val="00203CBA"/>
    <w:rsid w:val="00205357"/>
    <w:rsid w:val="00206BBD"/>
    <w:rsid w:val="00206EDC"/>
    <w:rsid w:val="0021315C"/>
    <w:rsid w:val="00213BEC"/>
    <w:rsid w:val="00217D17"/>
    <w:rsid w:val="00221629"/>
    <w:rsid w:val="00221C18"/>
    <w:rsid w:val="0022335D"/>
    <w:rsid w:val="00223774"/>
    <w:rsid w:val="0023773B"/>
    <w:rsid w:val="002406DF"/>
    <w:rsid w:val="0024215E"/>
    <w:rsid w:val="0024362E"/>
    <w:rsid w:val="002477C5"/>
    <w:rsid w:val="00250B32"/>
    <w:rsid w:val="00250F55"/>
    <w:rsid w:val="00252BEE"/>
    <w:rsid w:val="002544B1"/>
    <w:rsid w:val="00254912"/>
    <w:rsid w:val="00255FD8"/>
    <w:rsid w:val="00257B9E"/>
    <w:rsid w:val="00260779"/>
    <w:rsid w:val="002636DE"/>
    <w:rsid w:val="00264339"/>
    <w:rsid w:val="00267BBF"/>
    <w:rsid w:val="00267E99"/>
    <w:rsid w:val="0027010F"/>
    <w:rsid w:val="002715CE"/>
    <w:rsid w:val="00271C94"/>
    <w:rsid w:val="00272935"/>
    <w:rsid w:val="00272A1F"/>
    <w:rsid w:val="002733D7"/>
    <w:rsid w:val="002735B1"/>
    <w:rsid w:val="00273634"/>
    <w:rsid w:val="002741C1"/>
    <w:rsid w:val="00276306"/>
    <w:rsid w:val="002801F5"/>
    <w:rsid w:val="00280862"/>
    <w:rsid w:val="00282758"/>
    <w:rsid w:val="00282D1A"/>
    <w:rsid w:val="00282DC5"/>
    <w:rsid w:val="002853AC"/>
    <w:rsid w:val="00285907"/>
    <w:rsid w:val="00290339"/>
    <w:rsid w:val="00290DD6"/>
    <w:rsid w:val="00291686"/>
    <w:rsid w:val="00291DD4"/>
    <w:rsid w:val="00295223"/>
    <w:rsid w:val="0029577C"/>
    <w:rsid w:val="0029794E"/>
    <w:rsid w:val="002A10DF"/>
    <w:rsid w:val="002A1F52"/>
    <w:rsid w:val="002A59FB"/>
    <w:rsid w:val="002B0864"/>
    <w:rsid w:val="002B1A65"/>
    <w:rsid w:val="002B71A3"/>
    <w:rsid w:val="002B74FD"/>
    <w:rsid w:val="002C1351"/>
    <w:rsid w:val="002C26E2"/>
    <w:rsid w:val="002C3240"/>
    <w:rsid w:val="002C6BBE"/>
    <w:rsid w:val="002C7AD1"/>
    <w:rsid w:val="002C7C36"/>
    <w:rsid w:val="002D59DE"/>
    <w:rsid w:val="002D67B4"/>
    <w:rsid w:val="002D7EFD"/>
    <w:rsid w:val="002E11A8"/>
    <w:rsid w:val="002E2341"/>
    <w:rsid w:val="002E455C"/>
    <w:rsid w:val="002E46C7"/>
    <w:rsid w:val="002E57B0"/>
    <w:rsid w:val="002E5802"/>
    <w:rsid w:val="002E683C"/>
    <w:rsid w:val="002E704D"/>
    <w:rsid w:val="002E75A4"/>
    <w:rsid w:val="002F0C2E"/>
    <w:rsid w:val="002F1A2E"/>
    <w:rsid w:val="00300125"/>
    <w:rsid w:val="00300A55"/>
    <w:rsid w:val="00303729"/>
    <w:rsid w:val="003042A5"/>
    <w:rsid w:val="00305391"/>
    <w:rsid w:val="00306AAB"/>
    <w:rsid w:val="00310487"/>
    <w:rsid w:val="003139A7"/>
    <w:rsid w:val="00321C0B"/>
    <w:rsid w:val="0032203D"/>
    <w:rsid w:val="0032340C"/>
    <w:rsid w:val="00324218"/>
    <w:rsid w:val="0032424C"/>
    <w:rsid w:val="003243A3"/>
    <w:rsid w:val="003300C1"/>
    <w:rsid w:val="00330138"/>
    <w:rsid w:val="00330505"/>
    <w:rsid w:val="00330934"/>
    <w:rsid w:val="00331124"/>
    <w:rsid w:val="00334058"/>
    <w:rsid w:val="00334733"/>
    <w:rsid w:val="00341F6D"/>
    <w:rsid w:val="00345D4F"/>
    <w:rsid w:val="00345D99"/>
    <w:rsid w:val="00345F5B"/>
    <w:rsid w:val="003479DD"/>
    <w:rsid w:val="00353097"/>
    <w:rsid w:val="0035390F"/>
    <w:rsid w:val="00354D05"/>
    <w:rsid w:val="0035512F"/>
    <w:rsid w:val="00357B96"/>
    <w:rsid w:val="00361A6A"/>
    <w:rsid w:val="00362331"/>
    <w:rsid w:val="003628E4"/>
    <w:rsid w:val="00364BDA"/>
    <w:rsid w:val="00366180"/>
    <w:rsid w:val="00372771"/>
    <w:rsid w:val="00374E47"/>
    <w:rsid w:val="00377ED8"/>
    <w:rsid w:val="00385621"/>
    <w:rsid w:val="00387DB2"/>
    <w:rsid w:val="0039360D"/>
    <w:rsid w:val="003940E3"/>
    <w:rsid w:val="00394D14"/>
    <w:rsid w:val="0039556B"/>
    <w:rsid w:val="00395B17"/>
    <w:rsid w:val="00396E8A"/>
    <w:rsid w:val="00396EC8"/>
    <w:rsid w:val="003A11BB"/>
    <w:rsid w:val="003A30AA"/>
    <w:rsid w:val="003A3146"/>
    <w:rsid w:val="003A4390"/>
    <w:rsid w:val="003A57B2"/>
    <w:rsid w:val="003A59A3"/>
    <w:rsid w:val="003A619A"/>
    <w:rsid w:val="003A72B7"/>
    <w:rsid w:val="003A73CF"/>
    <w:rsid w:val="003A79B3"/>
    <w:rsid w:val="003B0E72"/>
    <w:rsid w:val="003B1209"/>
    <w:rsid w:val="003B27BA"/>
    <w:rsid w:val="003B5C04"/>
    <w:rsid w:val="003C0552"/>
    <w:rsid w:val="003C3B8E"/>
    <w:rsid w:val="003C3B95"/>
    <w:rsid w:val="003C51C3"/>
    <w:rsid w:val="003D65AB"/>
    <w:rsid w:val="003D7BB8"/>
    <w:rsid w:val="003E1B01"/>
    <w:rsid w:val="003F0FD8"/>
    <w:rsid w:val="003F1902"/>
    <w:rsid w:val="003F3C00"/>
    <w:rsid w:val="003F7DDE"/>
    <w:rsid w:val="0040055B"/>
    <w:rsid w:val="00400709"/>
    <w:rsid w:val="00403A82"/>
    <w:rsid w:val="00404E71"/>
    <w:rsid w:val="00405744"/>
    <w:rsid w:val="004058D5"/>
    <w:rsid w:val="004079CD"/>
    <w:rsid w:val="00412486"/>
    <w:rsid w:val="004128A1"/>
    <w:rsid w:val="00412D20"/>
    <w:rsid w:val="004134E6"/>
    <w:rsid w:val="004167D3"/>
    <w:rsid w:val="00420D5A"/>
    <w:rsid w:val="00420E36"/>
    <w:rsid w:val="00422078"/>
    <w:rsid w:val="00422331"/>
    <w:rsid w:val="00431E7A"/>
    <w:rsid w:val="00435AE4"/>
    <w:rsid w:val="00436DF2"/>
    <w:rsid w:val="0043764F"/>
    <w:rsid w:val="00437B08"/>
    <w:rsid w:val="0044136F"/>
    <w:rsid w:val="00442F19"/>
    <w:rsid w:val="004444CB"/>
    <w:rsid w:val="0045015B"/>
    <w:rsid w:val="00451D7F"/>
    <w:rsid w:val="00453EB0"/>
    <w:rsid w:val="00454FC3"/>
    <w:rsid w:val="00455D6D"/>
    <w:rsid w:val="0045649F"/>
    <w:rsid w:val="00461959"/>
    <w:rsid w:val="00461AEC"/>
    <w:rsid w:val="0046284F"/>
    <w:rsid w:val="00463C30"/>
    <w:rsid w:val="0046429A"/>
    <w:rsid w:val="00465AEC"/>
    <w:rsid w:val="00465C10"/>
    <w:rsid w:val="00465DB3"/>
    <w:rsid w:val="004669DA"/>
    <w:rsid w:val="00472B6C"/>
    <w:rsid w:val="00475918"/>
    <w:rsid w:val="00475CCD"/>
    <w:rsid w:val="00476659"/>
    <w:rsid w:val="004774C8"/>
    <w:rsid w:val="00477E17"/>
    <w:rsid w:val="0048185F"/>
    <w:rsid w:val="0048294A"/>
    <w:rsid w:val="00490DAB"/>
    <w:rsid w:val="00492027"/>
    <w:rsid w:val="004936E3"/>
    <w:rsid w:val="00494411"/>
    <w:rsid w:val="00494896"/>
    <w:rsid w:val="004962DA"/>
    <w:rsid w:val="004A194A"/>
    <w:rsid w:val="004A325E"/>
    <w:rsid w:val="004A4C77"/>
    <w:rsid w:val="004A757C"/>
    <w:rsid w:val="004A7EEF"/>
    <w:rsid w:val="004B03D0"/>
    <w:rsid w:val="004B25FD"/>
    <w:rsid w:val="004B6A91"/>
    <w:rsid w:val="004B6B29"/>
    <w:rsid w:val="004B77CD"/>
    <w:rsid w:val="004C0933"/>
    <w:rsid w:val="004C1790"/>
    <w:rsid w:val="004C32B6"/>
    <w:rsid w:val="004C57DF"/>
    <w:rsid w:val="004D01E2"/>
    <w:rsid w:val="004D03DE"/>
    <w:rsid w:val="004E0DA2"/>
    <w:rsid w:val="004E1A42"/>
    <w:rsid w:val="004E29D6"/>
    <w:rsid w:val="004E51C5"/>
    <w:rsid w:val="004E6130"/>
    <w:rsid w:val="004E7447"/>
    <w:rsid w:val="004F0B2D"/>
    <w:rsid w:val="004F3608"/>
    <w:rsid w:val="004F6B57"/>
    <w:rsid w:val="004F799C"/>
    <w:rsid w:val="004F7EA8"/>
    <w:rsid w:val="00503162"/>
    <w:rsid w:val="0050326C"/>
    <w:rsid w:val="00505F50"/>
    <w:rsid w:val="00506FE5"/>
    <w:rsid w:val="00511B64"/>
    <w:rsid w:val="00515E7D"/>
    <w:rsid w:val="005168BD"/>
    <w:rsid w:val="005211D3"/>
    <w:rsid w:val="00526364"/>
    <w:rsid w:val="00532092"/>
    <w:rsid w:val="0053263B"/>
    <w:rsid w:val="00532C68"/>
    <w:rsid w:val="00535C83"/>
    <w:rsid w:val="00536422"/>
    <w:rsid w:val="00536A97"/>
    <w:rsid w:val="0053733F"/>
    <w:rsid w:val="00537E9E"/>
    <w:rsid w:val="00543F3F"/>
    <w:rsid w:val="0054418C"/>
    <w:rsid w:val="00545C51"/>
    <w:rsid w:val="00552E7C"/>
    <w:rsid w:val="005554C9"/>
    <w:rsid w:val="005560A4"/>
    <w:rsid w:val="005606B5"/>
    <w:rsid w:val="005609AA"/>
    <w:rsid w:val="00562F3C"/>
    <w:rsid w:val="00563FE6"/>
    <w:rsid w:val="00565379"/>
    <w:rsid w:val="0056744F"/>
    <w:rsid w:val="0057061E"/>
    <w:rsid w:val="00573C38"/>
    <w:rsid w:val="00574BEF"/>
    <w:rsid w:val="0058333E"/>
    <w:rsid w:val="00590D0E"/>
    <w:rsid w:val="00591841"/>
    <w:rsid w:val="00591AE6"/>
    <w:rsid w:val="005924FE"/>
    <w:rsid w:val="00597B32"/>
    <w:rsid w:val="005A0EE9"/>
    <w:rsid w:val="005A114C"/>
    <w:rsid w:val="005A203D"/>
    <w:rsid w:val="005A3452"/>
    <w:rsid w:val="005A620E"/>
    <w:rsid w:val="005A7B61"/>
    <w:rsid w:val="005A7EA3"/>
    <w:rsid w:val="005B0F7B"/>
    <w:rsid w:val="005B2B1A"/>
    <w:rsid w:val="005B5557"/>
    <w:rsid w:val="005B75D8"/>
    <w:rsid w:val="005C33D4"/>
    <w:rsid w:val="005C3BFF"/>
    <w:rsid w:val="005D05BF"/>
    <w:rsid w:val="005D11B3"/>
    <w:rsid w:val="005D1738"/>
    <w:rsid w:val="005D531D"/>
    <w:rsid w:val="005D54CF"/>
    <w:rsid w:val="005D6CB8"/>
    <w:rsid w:val="005D6F56"/>
    <w:rsid w:val="005E0371"/>
    <w:rsid w:val="005E15E5"/>
    <w:rsid w:val="005E20C3"/>
    <w:rsid w:val="005E20F8"/>
    <w:rsid w:val="005E283F"/>
    <w:rsid w:val="005E2A1B"/>
    <w:rsid w:val="005E35D8"/>
    <w:rsid w:val="005E3D73"/>
    <w:rsid w:val="005E4E08"/>
    <w:rsid w:val="005E4F5A"/>
    <w:rsid w:val="005E519F"/>
    <w:rsid w:val="005E6767"/>
    <w:rsid w:val="005E7CF6"/>
    <w:rsid w:val="005F0D74"/>
    <w:rsid w:val="005F1C48"/>
    <w:rsid w:val="005F1EAF"/>
    <w:rsid w:val="005F4A85"/>
    <w:rsid w:val="005F6A2A"/>
    <w:rsid w:val="006005C6"/>
    <w:rsid w:val="00600D30"/>
    <w:rsid w:val="006032DD"/>
    <w:rsid w:val="006062BA"/>
    <w:rsid w:val="0060675F"/>
    <w:rsid w:val="00607A85"/>
    <w:rsid w:val="006122B6"/>
    <w:rsid w:val="0061278E"/>
    <w:rsid w:val="006128A0"/>
    <w:rsid w:val="006149A2"/>
    <w:rsid w:val="0061555B"/>
    <w:rsid w:val="006159CC"/>
    <w:rsid w:val="00615A7B"/>
    <w:rsid w:val="00616A3E"/>
    <w:rsid w:val="00617024"/>
    <w:rsid w:val="0061797B"/>
    <w:rsid w:val="00620433"/>
    <w:rsid w:val="0062056B"/>
    <w:rsid w:val="00620CCD"/>
    <w:rsid w:val="006221AF"/>
    <w:rsid w:val="006228F4"/>
    <w:rsid w:val="006232EF"/>
    <w:rsid w:val="0062392F"/>
    <w:rsid w:val="00624B3F"/>
    <w:rsid w:val="006254A3"/>
    <w:rsid w:val="00625BBB"/>
    <w:rsid w:val="0063217D"/>
    <w:rsid w:val="0063332C"/>
    <w:rsid w:val="0063590F"/>
    <w:rsid w:val="006368A3"/>
    <w:rsid w:val="00637E12"/>
    <w:rsid w:val="00640182"/>
    <w:rsid w:val="006402A0"/>
    <w:rsid w:val="0064137C"/>
    <w:rsid w:val="0064399C"/>
    <w:rsid w:val="00644028"/>
    <w:rsid w:val="00645EC1"/>
    <w:rsid w:val="00646E13"/>
    <w:rsid w:val="0065141A"/>
    <w:rsid w:val="00652A4B"/>
    <w:rsid w:val="00654302"/>
    <w:rsid w:val="00654BDF"/>
    <w:rsid w:val="006622F6"/>
    <w:rsid w:val="006631F5"/>
    <w:rsid w:val="006663B9"/>
    <w:rsid w:val="006676F2"/>
    <w:rsid w:val="00671C28"/>
    <w:rsid w:val="00674B60"/>
    <w:rsid w:val="00674D87"/>
    <w:rsid w:val="006755E5"/>
    <w:rsid w:val="00677950"/>
    <w:rsid w:val="00677A6B"/>
    <w:rsid w:val="0068010F"/>
    <w:rsid w:val="00680509"/>
    <w:rsid w:val="00680ED1"/>
    <w:rsid w:val="0068235A"/>
    <w:rsid w:val="0068315C"/>
    <w:rsid w:val="0068563B"/>
    <w:rsid w:val="0069058C"/>
    <w:rsid w:val="006906CE"/>
    <w:rsid w:val="0069377F"/>
    <w:rsid w:val="00693BB7"/>
    <w:rsid w:val="00697A7D"/>
    <w:rsid w:val="006A03DB"/>
    <w:rsid w:val="006A0789"/>
    <w:rsid w:val="006A0BC4"/>
    <w:rsid w:val="006A1436"/>
    <w:rsid w:val="006A3299"/>
    <w:rsid w:val="006A7CC8"/>
    <w:rsid w:val="006A7F60"/>
    <w:rsid w:val="006B27DA"/>
    <w:rsid w:val="006B7AE1"/>
    <w:rsid w:val="006C090D"/>
    <w:rsid w:val="006C10AD"/>
    <w:rsid w:val="006C1606"/>
    <w:rsid w:val="006C2125"/>
    <w:rsid w:val="006C25AF"/>
    <w:rsid w:val="006C2CEA"/>
    <w:rsid w:val="006C5DC8"/>
    <w:rsid w:val="006C6BD2"/>
    <w:rsid w:val="006D01A1"/>
    <w:rsid w:val="006E0DF2"/>
    <w:rsid w:val="006E1904"/>
    <w:rsid w:val="006E2146"/>
    <w:rsid w:val="006E2A0A"/>
    <w:rsid w:val="006E2A28"/>
    <w:rsid w:val="006E33B1"/>
    <w:rsid w:val="006E473C"/>
    <w:rsid w:val="006E6061"/>
    <w:rsid w:val="006F1916"/>
    <w:rsid w:val="006F4893"/>
    <w:rsid w:val="006F4DC9"/>
    <w:rsid w:val="00703AAF"/>
    <w:rsid w:val="007054EB"/>
    <w:rsid w:val="007055CD"/>
    <w:rsid w:val="00706279"/>
    <w:rsid w:val="007062BA"/>
    <w:rsid w:val="007144C0"/>
    <w:rsid w:val="007147AB"/>
    <w:rsid w:val="00716F34"/>
    <w:rsid w:val="00721179"/>
    <w:rsid w:val="0072171B"/>
    <w:rsid w:val="0072258B"/>
    <w:rsid w:val="00725180"/>
    <w:rsid w:val="00726D0A"/>
    <w:rsid w:val="00727D51"/>
    <w:rsid w:val="00730FB3"/>
    <w:rsid w:val="0073228C"/>
    <w:rsid w:val="007335D6"/>
    <w:rsid w:val="00736CB5"/>
    <w:rsid w:val="007371EB"/>
    <w:rsid w:val="00740B46"/>
    <w:rsid w:val="00741847"/>
    <w:rsid w:val="00741943"/>
    <w:rsid w:val="00741CB1"/>
    <w:rsid w:val="00744EED"/>
    <w:rsid w:val="00745073"/>
    <w:rsid w:val="00745245"/>
    <w:rsid w:val="007462A4"/>
    <w:rsid w:val="0074774B"/>
    <w:rsid w:val="00751517"/>
    <w:rsid w:val="0075240A"/>
    <w:rsid w:val="007577BA"/>
    <w:rsid w:val="007616A0"/>
    <w:rsid w:val="00763A76"/>
    <w:rsid w:val="007661D3"/>
    <w:rsid w:val="00767016"/>
    <w:rsid w:val="00767675"/>
    <w:rsid w:val="00767A00"/>
    <w:rsid w:val="00773C11"/>
    <w:rsid w:val="007759AC"/>
    <w:rsid w:val="007769A8"/>
    <w:rsid w:val="00776AF4"/>
    <w:rsid w:val="00782E19"/>
    <w:rsid w:val="00783600"/>
    <w:rsid w:val="0079360D"/>
    <w:rsid w:val="00793F58"/>
    <w:rsid w:val="007950DA"/>
    <w:rsid w:val="00795744"/>
    <w:rsid w:val="00796885"/>
    <w:rsid w:val="00797065"/>
    <w:rsid w:val="007A347E"/>
    <w:rsid w:val="007A36FF"/>
    <w:rsid w:val="007A5786"/>
    <w:rsid w:val="007A7CB8"/>
    <w:rsid w:val="007B64B3"/>
    <w:rsid w:val="007B6BA9"/>
    <w:rsid w:val="007C1C33"/>
    <w:rsid w:val="007C3170"/>
    <w:rsid w:val="007C379A"/>
    <w:rsid w:val="007C45BC"/>
    <w:rsid w:val="007C51A1"/>
    <w:rsid w:val="007C5C52"/>
    <w:rsid w:val="007C6081"/>
    <w:rsid w:val="007C634C"/>
    <w:rsid w:val="007C71BA"/>
    <w:rsid w:val="007C751E"/>
    <w:rsid w:val="007D04F0"/>
    <w:rsid w:val="007D2D5D"/>
    <w:rsid w:val="007D3856"/>
    <w:rsid w:val="007D4426"/>
    <w:rsid w:val="007D4B50"/>
    <w:rsid w:val="007D5841"/>
    <w:rsid w:val="007D610C"/>
    <w:rsid w:val="007D6150"/>
    <w:rsid w:val="007D7E46"/>
    <w:rsid w:val="007E01D4"/>
    <w:rsid w:val="007E111F"/>
    <w:rsid w:val="007E2B22"/>
    <w:rsid w:val="007E4BE5"/>
    <w:rsid w:val="007E4C7D"/>
    <w:rsid w:val="007E67F4"/>
    <w:rsid w:val="007E7043"/>
    <w:rsid w:val="007E75E3"/>
    <w:rsid w:val="007F0EBC"/>
    <w:rsid w:val="007F1FF0"/>
    <w:rsid w:val="007F2860"/>
    <w:rsid w:val="007F2974"/>
    <w:rsid w:val="007F2DAC"/>
    <w:rsid w:val="007F2DF8"/>
    <w:rsid w:val="007F3BCA"/>
    <w:rsid w:val="007F57C1"/>
    <w:rsid w:val="007F7062"/>
    <w:rsid w:val="00800E25"/>
    <w:rsid w:val="00801021"/>
    <w:rsid w:val="0080323A"/>
    <w:rsid w:val="0080494A"/>
    <w:rsid w:val="008049D6"/>
    <w:rsid w:val="008062AB"/>
    <w:rsid w:val="0081068C"/>
    <w:rsid w:val="008123E8"/>
    <w:rsid w:val="00812B09"/>
    <w:rsid w:val="00814C93"/>
    <w:rsid w:val="00814E27"/>
    <w:rsid w:val="00820E93"/>
    <w:rsid w:val="0083292A"/>
    <w:rsid w:val="0083300D"/>
    <w:rsid w:val="00833C48"/>
    <w:rsid w:val="00834418"/>
    <w:rsid w:val="00835394"/>
    <w:rsid w:val="00836EB3"/>
    <w:rsid w:val="00837CF9"/>
    <w:rsid w:val="00837E24"/>
    <w:rsid w:val="0084168A"/>
    <w:rsid w:val="008451A7"/>
    <w:rsid w:val="008454C9"/>
    <w:rsid w:val="0084603E"/>
    <w:rsid w:val="00850C06"/>
    <w:rsid w:val="00852A01"/>
    <w:rsid w:val="00852C90"/>
    <w:rsid w:val="00854040"/>
    <w:rsid w:val="0085677A"/>
    <w:rsid w:val="00860084"/>
    <w:rsid w:val="008606E8"/>
    <w:rsid w:val="00860BF9"/>
    <w:rsid w:val="0086108D"/>
    <w:rsid w:val="00861A06"/>
    <w:rsid w:val="0086401C"/>
    <w:rsid w:val="008649A3"/>
    <w:rsid w:val="00867260"/>
    <w:rsid w:val="008675DF"/>
    <w:rsid w:val="00867ACB"/>
    <w:rsid w:val="008704BE"/>
    <w:rsid w:val="00870656"/>
    <w:rsid w:val="00871573"/>
    <w:rsid w:val="00872559"/>
    <w:rsid w:val="00873729"/>
    <w:rsid w:val="00880011"/>
    <w:rsid w:val="00880450"/>
    <w:rsid w:val="00880871"/>
    <w:rsid w:val="0088164A"/>
    <w:rsid w:val="0088204B"/>
    <w:rsid w:val="0088211F"/>
    <w:rsid w:val="008821DA"/>
    <w:rsid w:val="00882554"/>
    <w:rsid w:val="00883251"/>
    <w:rsid w:val="0088385B"/>
    <w:rsid w:val="00884A2C"/>
    <w:rsid w:val="00885699"/>
    <w:rsid w:val="00885ACE"/>
    <w:rsid w:val="0088688D"/>
    <w:rsid w:val="00887012"/>
    <w:rsid w:val="00893EB8"/>
    <w:rsid w:val="008947F6"/>
    <w:rsid w:val="00895020"/>
    <w:rsid w:val="0089520E"/>
    <w:rsid w:val="0089543D"/>
    <w:rsid w:val="008956D6"/>
    <w:rsid w:val="008A0CCE"/>
    <w:rsid w:val="008A1A48"/>
    <w:rsid w:val="008A2A53"/>
    <w:rsid w:val="008A5B17"/>
    <w:rsid w:val="008B0DDC"/>
    <w:rsid w:val="008B1475"/>
    <w:rsid w:val="008B19D6"/>
    <w:rsid w:val="008B2D1D"/>
    <w:rsid w:val="008B7976"/>
    <w:rsid w:val="008C0299"/>
    <w:rsid w:val="008C0DBE"/>
    <w:rsid w:val="008C1441"/>
    <w:rsid w:val="008C1DFC"/>
    <w:rsid w:val="008C34CA"/>
    <w:rsid w:val="008C54DD"/>
    <w:rsid w:val="008C7897"/>
    <w:rsid w:val="008D1433"/>
    <w:rsid w:val="008D2FFD"/>
    <w:rsid w:val="008D61E7"/>
    <w:rsid w:val="008D6D08"/>
    <w:rsid w:val="008D7C7E"/>
    <w:rsid w:val="008E21F6"/>
    <w:rsid w:val="008E44E2"/>
    <w:rsid w:val="008E6231"/>
    <w:rsid w:val="008E6627"/>
    <w:rsid w:val="008F1B88"/>
    <w:rsid w:val="008F1F9A"/>
    <w:rsid w:val="008F2165"/>
    <w:rsid w:val="008F244E"/>
    <w:rsid w:val="008F55E4"/>
    <w:rsid w:val="008F560C"/>
    <w:rsid w:val="008F7A20"/>
    <w:rsid w:val="00901766"/>
    <w:rsid w:val="00902617"/>
    <w:rsid w:val="00903B2E"/>
    <w:rsid w:val="009052DA"/>
    <w:rsid w:val="0090635B"/>
    <w:rsid w:val="00906F91"/>
    <w:rsid w:val="00907320"/>
    <w:rsid w:val="00907906"/>
    <w:rsid w:val="00910779"/>
    <w:rsid w:val="00910F12"/>
    <w:rsid w:val="009110C9"/>
    <w:rsid w:val="00912B5F"/>
    <w:rsid w:val="0091304D"/>
    <w:rsid w:val="00913F47"/>
    <w:rsid w:val="00914CF0"/>
    <w:rsid w:val="0091734D"/>
    <w:rsid w:val="009225E4"/>
    <w:rsid w:val="009261AA"/>
    <w:rsid w:val="00926C15"/>
    <w:rsid w:val="00926F25"/>
    <w:rsid w:val="00927BFC"/>
    <w:rsid w:val="009302D4"/>
    <w:rsid w:val="0093139E"/>
    <w:rsid w:val="00935FD2"/>
    <w:rsid w:val="009410E6"/>
    <w:rsid w:val="009429D5"/>
    <w:rsid w:val="00942E71"/>
    <w:rsid w:val="00946423"/>
    <w:rsid w:val="009467E7"/>
    <w:rsid w:val="009473BC"/>
    <w:rsid w:val="00953511"/>
    <w:rsid w:val="00953FCD"/>
    <w:rsid w:val="00961759"/>
    <w:rsid w:val="00964D80"/>
    <w:rsid w:val="009655D6"/>
    <w:rsid w:val="0096787B"/>
    <w:rsid w:val="0097283F"/>
    <w:rsid w:val="0097647A"/>
    <w:rsid w:val="00980A0E"/>
    <w:rsid w:val="009816C4"/>
    <w:rsid w:val="00982300"/>
    <w:rsid w:val="009826F4"/>
    <w:rsid w:val="00983908"/>
    <w:rsid w:val="00984D96"/>
    <w:rsid w:val="0098521C"/>
    <w:rsid w:val="00987010"/>
    <w:rsid w:val="009875B8"/>
    <w:rsid w:val="00993C7C"/>
    <w:rsid w:val="0099507F"/>
    <w:rsid w:val="00997119"/>
    <w:rsid w:val="009A0FE2"/>
    <w:rsid w:val="009A23AF"/>
    <w:rsid w:val="009A3A24"/>
    <w:rsid w:val="009A64E9"/>
    <w:rsid w:val="009A7C1C"/>
    <w:rsid w:val="009B03C9"/>
    <w:rsid w:val="009B054B"/>
    <w:rsid w:val="009B063C"/>
    <w:rsid w:val="009B7A7F"/>
    <w:rsid w:val="009B7F6E"/>
    <w:rsid w:val="009C11FE"/>
    <w:rsid w:val="009C46B1"/>
    <w:rsid w:val="009C721D"/>
    <w:rsid w:val="009C7A80"/>
    <w:rsid w:val="009D04D3"/>
    <w:rsid w:val="009D0736"/>
    <w:rsid w:val="009D0819"/>
    <w:rsid w:val="009D3017"/>
    <w:rsid w:val="009D6C68"/>
    <w:rsid w:val="009E63B0"/>
    <w:rsid w:val="009E6864"/>
    <w:rsid w:val="009E686F"/>
    <w:rsid w:val="009E6D15"/>
    <w:rsid w:val="009E7F3E"/>
    <w:rsid w:val="009F3B46"/>
    <w:rsid w:val="009F5B57"/>
    <w:rsid w:val="009F7FC6"/>
    <w:rsid w:val="00A00169"/>
    <w:rsid w:val="00A023EC"/>
    <w:rsid w:val="00A02CF1"/>
    <w:rsid w:val="00A03500"/>
    <w:rsid w:val="00A03D1E"/>
    <w:rsid w:val="00A05B57"/>
    <w:rsid w:val="00A06C41"/>
    <w:rsid w:val="00A079C4"/>
    <w:rsid w:val="00A147E6"/>
    <w:rsid w:val="00A258E2"/>
    <w:rsid w:val="00A272CF"/>
    <w:rsid w:val="00A30FAA"/>
    <w:rsid w:val="00A32F68"/>
    <w:rsid w:val="00A32FD0"/>
    <w:rsid w:val="00A336B5"/>
    <w:rsid w:val="00A354E0"/>
    <w:rsid w:val="00A4129A"/>
    <w:rsid w:val="00A41F91"/>
    <w:rsid w:val="00A43341"/>
    <w:rsid w:val="00A45F9C"/>
    <w:rsid w:val="00A471A4"/>
    <w:rsid w:val="00A5054F"/>
    <w:rsid w:val="00A50C07"/>
    <w:rsid w:val="00A5253D"/>
    <w:rsid w:val="00A53619"/>
    <w:rsid w:val="00A53CCD"/>
    <w:rsid w:val="00A53D39"/>
    <w:rsid w:val="00A5602E"/>
    <w:rsid w:val="00A57107"/>
    <w:rsid w:val="00A576A1"/>
    <w:rsid w:val="00A603BA"/>
    <w:rsid w:val="00A61D13"/>
    <w:rsid w:val="00A629C4"/>
    <w:rsid w:val="00A6330B"/>
    <w:rsid w:val="00A635CE"/>
    <w:rsid w:val="00A64E89"/>
    <w:rsid w:val="00A66039"/>
    <w:rsid w:val="00A669D3"/>
    <w:rsid w:val="00A70B41"/>
    <w:rsid w:val="00A70DCC"/>
    <w:rsid w:val="00A730F4"/>
    <w:rsid w:val="00A73288"/>
    <w:rsid w:val="00A73F9A"/>
    <w:rsid w:val="00A742A2"/>
    <w:rsid w:val="00A811DF"/>
    <w:rsid w:val="00A82208"/>
    <w:rsid w:val="00A83D64"/>
    <w:rsid w:val="00A83ED2"/>
    <w:rsid w:val="00A84567"/>
    <w:rsid w:val="00A847AB"/>
    <w:rsid w:val="00A901E8"/>
    <w:rsid w:val="00A9109A"/>
    <w:rsid w:val="00A921DA"/>
    <w:rsid w:val="00A92388"/>
    <w:rsid w:val="00A9335F"/>
    <w:rsid w:val="00A94E05"/>
    <w:rsid w:val="00A95A77"/>
    <w:rsid w:val="00A97A69"/>
    <w:rsid w:val="00AA0032"/>
    <w:rsid w:val="00AA09C5"/>
    <w:rsid w:val="00AA18C1"/>
    <w:rsid w:val="00AA25EF"/>
    <w:rsid w:val="00AA2D6A"/>
    <w:rsid w:val="00AA3288"/>
    <w:rsid w:val="00AA3309"/>
    <w:rsid w:val="00AB0A50"/>
    <w:rsid w:val="00AB14D2"/>
    <w:rsid w:val="00AB1AF0"/>
    <w:rsid w:val="00AB37C8"/>
    <w:rsid w:val="00AB4A28"/>
    <w:rsid w:val="00AB563A"/>
    <w:rsid w:val="00AC1C9E"/>
    <w:rsid w:val="00AC26C8"/>
    <w:rsid w:val="00AC3852"/>
    <w:rsid w:val="00AC7230"/>
    <w:rsid w:val="00AD045C"/>
    <w:rsid w:val="00AD1EAC"/>
    <w:rsid w:val="00AD2548"/>
    <w:rsid w:val="00AD262D"/>
    <w:rsid w:val="00AD432C"/>
    <w:rsid w:val="00AD58B7"/>
    <w:rsid w:val="00AD7B17"/>
    <w:rsid w:val="00AE154F"/>
    <w:rsid w:val="00AE21AB"/>
    <w:rsid w:val="00AE3CB1"/>
    <w:rsid w:val="00AE7120"/>
    <w:rsid w:val="00AE76BF"/>
    <w:rsid w:val="00AF0649"/>
    <w:rsid w:val="00AF250C"/>
    <w:rsid w:val="00AF39DE"/>
    <w:rsid w:val="00AF3BDD"/>
    <w:rsid w:val="00AF5DBF"/>
    <w:rsid w:val="00AF621E"/>
    <w:rsid w:val="00B001D8"/>
    <w:rsid w:val="00B01A88"/>
    <w:rsid w:val="00B023B0"/>
    <w:rsid w:val="00B05288"/>
    <w:rsid w:val="00B10642"/>
    <w:rsid w:val="00B12E87"/>
    <w:rsid w:val="00B15F70"/>
    <w:rsid w:val="00B170F7"/>
    <w:rsid w:val="00B201EB"/>
    <w:rsid w:val="00B20E21"/>
    <w:rsid w:val="00B20F7E"/>
    <w:rsid w:val="00B2101A"/>
    <w:rsid w:val="00B21940"/>
    <w:rsid w:val="00B21EDB"/>
    <w:rsid w:val="00B23C8B"/>
    <w:rsid w:val="00B27D56"/>
    <w:rsid w:val="00B314C3"/>
    <w:rsid w:val="00B36E1E"/>
    <w:rsid w:val="00B4066B"/>
    <w:rsid w:val="00B408C9"/>
    <w:rsid w:val="00B42473"/>
    <w:rsid w:val="00B43379"/>
    <w:rsid w:val="00B4482D"/>
    <w:rsid w:val="00B44A01"/>
    <w:rsid w:val="00B44C2F"/>
    <w:rsid w:val="00B45073"/>
    <w:rsid w:val="00B45F4E"/>
    <w:rsid w:val="00B5356F"/>
    <w:rsid w:val="00B54F60"/>
    <w:rsid w:val="00B551D6"/>
    <w:rsid w:val="00B55854"/>
    <w:rsid w:val="00B5596C"/>
    <w:rsid w:val="00B56367"/>
    <w:rsid w:val="00B57002"/>
    <w:rsid w:val="00B57D5C"/>
    <w:rsid w:val="00B62086"/>
    <w:rsid w:val="00B649A7"/>
    <w:rsid w:val="00B65671"/>
    <w:rsid w:val="00B7039F"/>
    <w:rsid w:val="00B714CC"/>
    <w:rsid w:val="00B749FB"/>
    <w:rsid w:val="00B76B8F"/>
    <w:rsid w:val="00B76CD4"/>
    <w:rsid w:val="00B777AC"/>
    <w:rsid w:val="00B77CFB"/>
    <w:rsid w:val="00B801AC"/>
    <w:rsid w:val="00B80F32"/>
    <w:rsid w:val="00B824E5"/>
    <w:rsid w:val="00B82FB3"/>
    <w:rsid w:val="00B87492"/>
    <w:rsid w:val="00B9161C"/>
    <w:rsid w:val="00B91837"/>
    <w:rsid w:val="00B934FE"/>
    <w:rsid w:val="00B942FD"/>
    <w:rsid w:val="00B96502"/>
    <w:rsid w:val="00BA115B"/>
    <w:rsid w:val="00BA2248"/>
    <w:rsid w:val="00BA50B5"/>
    <w:rsid w:val="00BB4226"/>
    <w:rsid w:val="00BB73D8"/>
    <w:rsid w:val="00BB77A6"/>
    <w:rsid w:val="00BC2830"/>
    <w:rsid w:val="00BC59F1"/>
    <w:rsid w:val="00BC65A7"/>
    <w:rsid w:val="00BC6F78"/>
    <w:rsid w:val="00BD1DFD"/>
    <w:rsid w:val="00BD1EBF"/>
    <w:rsid w:val="00BD50B3"/>
    <w:rsid w:val="00BD5398"/>
    <w:rsid w:val="00BE0E5D"/>
    <w:rsid w:val="00BE2802"/>
    <w:rsid w:val="00BE2A7B"/>
    <w:rsid w:val="00BE2AB1"/>
    <w:rsid w:val="00BE4548"/>
    <w:rsid w:val="00BF02D6"/>
    <w:rsid w:val="00BF1E91"/>
    <w:rsid w:val="00BF3335"/>
    <w:rsid w:val="00BF3FDE"/>
    <w:rsid w:val="00BF4088"/>
    <w:rsid w:val="00BF53CD"/>
    <w:rsid w:val="00BF6524"/>
    <w:rsid w:val="00BF7810"/>
    <w:rsid w:val="00C00EBE"/>
    <w:rsid w:val="00C010A9"/>
    <w:rsid w:val="00C01C83"/>
    <w:rsid w:val="00C02AD2"/>
    <w:rsid w:val="00C0329E"/>
    <w:rsid w:val="00C072ED"/>
    <w:rsid w:val="00C078C7"/>
    <w:rsid w:val="00C12716"/>
    <w:rsid w:val="00C12A0E"/>
    <w:rsid w:val="00C13A0A"/>
    <w:rsid w:val="00C15A6A"/>
    <w:rsid w:val="00C168BE"/>
    <w:rsid w:val="00C16EB9"/>
    <w:rsid w:val="00C172BE"/>
    <w:rsid w:val="00C20B9C"/>
    <w:rsid w:val="00C22931"/>
    <w:rsid w:val="00C23572"/>
    <w:rsid w:val="00C23696"/>
    <w:rsid w:val="00C24054"/>
    <w:rsid w:val="00C2567C"/>
    <w:rsid w:val="00C30701"/>
    <w:rsid w:val="00C30F5E"/>
    <w:rsid w:val="00C33DF4"/>
    <w:rsid w:val="00C35F82"/>
    <w:rsid w:val="00C364FC"/>
    <w:rsid w:val="00C45B77"/>
    <w:rsid w:val="00C50594"/>
    <w:rsid w:val="00C50FF0"/>
    <w:rsid w:val="00C519D2"/>
    <w:rsid w:val="00C603D3"/>
    <w:rsid w:val="00C619B3"/>
    <w:rsid w:val="00C62B7A"/>
    <w:rsid w:val="00C630F2"/>
    <w:rsid w:val="00C64E99"/>
    <w:rsid w:val="00C65A6E"/>
    <w:rsid w:val="00C7543D"/>
    <w:rsid w:val="00C8002B"/>
    <w:rsid w:val="00C80955"/>
    <w:rsid w:val="00C814DD"/>
    <w:rsid w:val="00C81787"/>
    <w:rsid w:val="00C81BF0"/>
    <w:rsid w:val="00C85CD0"/>
    <w:rsid w:val="00C86E43"/>
    <w:rsid w:val="00C92AB3"/>
    <w:rsid w:val="00C94725"/>
    <w:rsid w:val="00C9516E"/>
    <w:rsid w:val="00C9554F"/>
    <w:rsid w:val="00C97818"/>
    <w:rsid w:val="00CA3357"/>
    <w:rsid w:val="00CA45BD"/>
    <w:rsid w:val="00CA5ECF"/>
    <w:rsid w:val="00CA662A"/>
    <w:rsid w:val="00CB3A1B"/>
    <w:rsid w:val="00CB5C44"/>
    <w:rsid w:val="00CB6498"/>
    <w:rsid w:val="00CB6CF6"/>
    <w:rsid w:val="00CB71F8"/>
    <w:rsid w:val="00CC02E9"/>
    <w:rsid w:val="00CC28CD"/>
    <w:rsid w:val="00CC51DC"/>
    <w:rsid w:val="00CC611B"/>
    <w:rsid w:val="00CC6827"/>
    <w:rsid w:val="00CC7B8F"/>
    <w:rsid w:val="00CD0193"/>
    <w:rsid w:val="00CD39C9"/>
    <w:rsid w:val="00CD3EAF"/>
    <w:rsid w:val="00CE1589"/>
    <w:rsid w:val="00CE2232"/>
    <w:rsid w:val="00CE27DE"/>
    <w:rsid w:val="00CE48E2"/>
    <w:rsid w:val="00CE4990"/>
    <w:rsid w:val="00CE4AE5"/>
    <w:rsid w:val="00CE4D2C"/>
    <w:rsid w:val="00CE685E"/>
    <w:rsid w:val="00CF0E71"/>
    <w:rsid w:val="00CF1653"/>
    <w:rsid w:val="00CF61E7"/>
    <w:rsid w:val="00CF6C1D"/>
    <w:rsid w:val="00CF7FB7"/>
    <w:rsid w:val="00D0043D"/>
    <w:rsid w:val="00D0196D"/>
    <w:rsid w:val="00D046B6"/>
    <w:rsid w:val="00D04D50"/>
    <w:rsid w:val="00D10845"/>
    <w:rsid w:val="00D10F02"/>
    <w:rsid w:val="00D125FA"/>
    <w:rsid w:val="00D132B6"/>
    <w:rsid w:val="00D13775"/>
    <w:rsid w:val="00D13881"/>
    <w:rsid w:val="00D140BF"/>
    <w:rsid w:val="00D16A8F"/>
    <w:rsid w:val="00D201BA"/>
    <w:rsid w:val="00D245A0"/>
    <w:rsid w:val="00D27910"/>
    <w:rsid w:val="00D27D8D"/>
    <w:rsid w:val="00D30BA4"/>
    <w:rsid w:val="00D3148C"/>
    <w:rsid w:val="00D317A7"/>
    <w:rsid w:val="00D33439"/>
    <w:rsid w:val="00D33F06"/>
    <w:rsid w:val="00D36906"/>
    <w:rsid w:val="00D36FA2"/>
    <w:rsid w:val="00D4090B"/>
    <w:rsid w:val="00D40F07"/>
    <w:rsid w:val="00D4216D"/>
    <w:rsid w:val="00D437A1"/>
    <w:rsid w:val="00D43BFD"/>
    <w:rsid w:val="00D45426"/>
    <w:rsid w:val="00D511C4"/>
    <w:rsid w:val="00D52DA2"/>
    <w:rsid w:val="00D5422F"/>
    <w:rsid w:val="00D56FCB"/>
    <w:rsid w:val="00D570D8"/>
    <w:rsid w:val="00D6475F"/>
    <w:rsid w:val="00D65191"/>
    <w:rsid w:val="00D6742D"/>
    <w:rsid w:val="00D712D6"/>
    <w:rsid w:val="00D713B8"/>
    <w:rsid w:val="00D7241A"/>
    <w:rsid w:val="00D743F4"/>
    <w:rsid w:val="00D7612D"/>
    <w:rsid w:val="00D761BE"/>
    <w:rsid w:val="00D76489"/>
    <w:rsid w:val="00D76AE5"/>
    <w:rsid w:val="00D77E91"/>
    <w:rsid w:val="00D817FD"/>
    <w:rsid w:val="00D83381"/>
    <w:rsid w:val="00D84C39"/>
    <w:rsid w:val="00D860B9"/>
    <w:rsid w:val="00D924A6"/>
    <w:rsid w:val="00D928BA"/>
    <w:rsid w:val="00D93B52"/>
    <w:rsid w:val="00DA157B"/>
    <w:rsid w:val="00DA17B0"/>
    <w:rsid w:val="00DA43D6"/>
    <w:rsid w:val="00DA522B"/>
    <w:rsid w:val="00DA6338"/>
    <w:rsid w:val="00DA752F"/>
    <w:rsid w:val="00DA77A4"/>
    <w:rsid w:val="00DB036E"/>
    <w:rsid w:val="00DB0805"/>
    <w:rsid w:val="00DB483D"/>
    <w:rsid w:val="00DB7092"/>
    <w:rsid w:val="00DC1B46"/>
    <w:rsid w:val="00DC261A"/>
    <w:rsid w:val="00DC43CE"/>
    <w:rsid w:val="00DC461A"/>
    <w:rsid w:val="00DC5F91"/>
    <w:rsid w:val="00DC65CF"/>
    <w:rsid w:val="00DC66AE"/>
    <w:rsid w:val="00DD10A4"/>
    <w:rsid w:val="00DD1C21"/>
    <w:rsid w:val="00DD3969"/>
    <w:rsid w:val="00DD3E59"/>
    <w:rsid w:val="00DD41F0"/>
    <w:rsid w:val="00DE1A4F"/>
    <w:rsid w:val="00DE22A5"/>
    <w:rsid w:val="00DE2707"/>
    <w:rsid w:val="00DE3DB7"/>
    <w:rsid w:val="00DE72C3"/>
    <w:rsid w:val="00DF0E34"/>
    <w:rsid w:val="00DF1548"/>
    <w:rsid w:val="00DF521D"/>
    <w:rsid w:val="00E0145E"/>
    <w:rsid w:val="00E02DBB"/>
    <w:rsid w:val="00E039D5"/>
    <w:rsid w:val="00E04B8C"/>
    <w:rsid w:val="00E11627"/>
    <w:rsid w:val="00E12303"/>
    <w:rsid w:val="00E1272C"/>
    <w:rsid w:val="00E12C6E"/>
    <w:rsid w:val="00E12D2A"/>
    <w:rsid w:val="00E149D0"/>
    <w:rsid w:val="00E20D33"/>
    <w:rsid w:val="00E23098"/>
    <w:rsid w:val="00E2414A"/>
    <w:rsid w:val="00E279DB"/>
    <w:rsid w:val="00E30288"/>
    <w:rsid w:val="00E3059C"/>
    <w:rsid w:val="00E309A9"/>
    <w:rsid w:val="00E30B36"/>
    <w:rsid w:val="00E30E29"/>
    <w:rsid w:val="00E32B3A"/>
    <w:rsid w:val="00E33077"/>
    <w:rsid w:val="00E3421B"/>
    <w:rsid w:val="00E36BB2"/>
    <w:rsid w:val="00E40C0F"/>
    <w:rsid w:val="00E42A72"/>
    <w:rsid w:val="00E42AFB"/>
    <w:rsid w:val="00E456DA"/>
    <w:rsid w:val="00E47666"/>
    <w:rsid w:val="00E541DA"/>
    <w:rsid w:val="00E5450B"/>
    <w:rsid w:val="00E55056"/>
    <w:rsid w:val="00E57956"/>
    <w:rsid w:val="00E57C58"/>
    <w:rsid w:val="00E602AB"/>
    <w:rsid w:val="00E62004"/>
    <w:rsid w:val="00E62973"/>
    <w:rsid w:val="00E65059"/>
    <w:rsid w:val="00E65EC6"/>
    <w:rsid w:val="00E66D7D"/>
    <w:rsid w:val="00E7356B"/>
    <w:rsid w:val="00E75206"/>
    <w:rsid w:val="00E75902"/>
    <w:rsid w:val="00E77B2F"/>
    <w:rsid w:val="00E80C97"/>
    <w:rsid w:val="00E820AE"/>
    <w:rsid w:val="00E822BF"/>
    <w:rsid w:val="00E825B2"/>
    <w:rsid w:val="00E85D93"/>
    <w:rsid w:val="00E85F20"/>
    <w:rsid w:val="00E865D8"/>
    <w:rsid w:val="00E86DEE"/>
    <w:rsid w:val="00E901B8"/>
    <w:rsid w:val="00E91855"/>
    <w:rsid w:val="00E922E7"/>
    <w:rsid w:val="00E93379"/>
    <w:rsid w:val="00E933EE"/>
    <w:rsid w:val="00E9352F"/>
    <w:rsid w:val="00E94EFF"/>
    <w:rsid w:val="00E95A97"/>
    <w:rsid w:val="00E96250"/>
    <w:rsid w:val="00E96B5C"/>
    <w:rsid w:val="00E972B6"/>
    <w:rsid w:val="00EA144E"/>
    <w:rsid w:val="00EA1F51"/>
    <w:rsid w:val="00EA2731"/>
    <w:rsid w:val="00EA2E6F"/>
    <w:rsid w:val="00EA33DE"/>
    <w:rsid w:val="00EA3826"/>
    <w:rsid w:val="00EA3DB6"/>
    <w:rsid w:val="00EA4C90"/>
    <w:rsid w:val="00EA565B"/>
    <w:rsid w:val="00EA7AC1"/>
    <w:rsid w:val="00EB26BD"/>
    <w:rsid w:val="00EB28A7"/>
    <w:rsid w:val="00EB3CA3"/>
    <w:rsid w:val="00EB531E"/>
    <w:rsid w:val="00EB6B7B"/>
    <w:rsid w:val="00EB7CBF"/>
    <w:rsid w:val="00EC1DE2"/>
    <w:rsid w:val="00EC3601"/>
    <w:rsid w:val="00EC4C79"/>
    <w:rsid w:val="00EC696C"/>
    <w:rsid w:val="00EC78DB"/>
    <w:rsid w:val="00ED164E"/>
    <w:rsid w:val="00ED2F5E"/>
    <w:rsid w:val="00ED4667"/>
    <w:rsid w:val="00ED4762"/>
    <w:rsid w:val="00ED72B9"/>
    <w:rsid w:val="00EE0FB2"/>
    <w:rsid w:val="00EE207F"/>
    <w:rsid w:val="00EE2354"/>
    <w:rsid w:val="00EE363D"/>
    <w:rsid w:val="00EE4A97"/>
    <w:rsid w:val="00EE775E"/>
    <w:rsid w:val="00EF141D"/>
    <w:rsid w:val="00EF4D0B"/>
    <w:rsid w:val="00EF63EB"/>
    <w:rsid w:val="00F00C1A"/>
    <w:rsid w:val="00F00EB3"/>
    <w:rsid w:val="00F0185D"/>
    <w:rsid w:val="00F045AB"/>
    <w:rsid w:val="00F04DB6"/>
    <w:rsid w:val="00F1033A"/>
    <w:rsid w:val="00F130FB"/>
    <w:rsid w:val="00F14E51"/>
    <w:rsid w:val="00F1646C"/>
    <w:rsid w:val="00F17EB0"/>
    <w:rsid w:val="00F20508"/>
    <w:rsid w:val="00F228CA"/>
    <w:rsid w:val="00F24798"/>
    <w:rsid w:val="00F24EE3"/>
    <w:rsid w:val="00F25FC9"/>
    <w:rsid w:val="00F303AC"/>
    <w:rsid w:val="00F30F74"/>
    <w:rsid w:val="00F30F98"/>
    <w:rsid w:val="00F30FC9"/>
    <w:rsid w:val="00F31281"/>
    <w:rsid w:val="00F32D24"/>
    <w:rsid w:val="00F34D2B"/>
    <w:rsid w:val="00F35AFD"/>
    <w:rsid w:val="00F365A1"/>
    <w:rsid w:val="00F373C7"/>
    <w:rsid w:val="00F40953"/>
    <w:rsid w:val="00F43A99"/>
    <w:rsid w:val="00F4434B"/>
    <w:rsid w:val="00F45AC7"/>
    <w:rsid w:val="00F45C7F"/>
    <w:rsid w:val="00F46BB4"/>
    <w:rsid w:val="00F50218"/>
    <w:rsid w:val="00F5278D"/>
    <w:rsid w:val="00F57AFB"/>
    <w:rsid w:val="00F602F6"/>
    <w:rsid w:val="00F629F2"/>
    <w:rsid w:val="00F63C4B"/>
    <w:rsid w:val="00F657E6"/>
    <w:rsid w:val="00F65AB6"/>
    <w:rsid w:val="00F67461"/>
    <w:rsid w:val="00F707D1"/>
    <w:rsid w:val="00F71B1C"/>
    <w:rsid w:val="00F72416"/>
    <w:rsid w:val="00F75C56"/>
    <w:rsid w:val="00F77BD4"/>
    <w:rsid w:val="00F80DFD"/>
    <w:rsid w:val="00F83268"/>
    <w:rsid w:val="00F841B3"/>
    <w:rsid w:val="00F844D8"/>
    <w:rsid w:val="00F90329"/>
    <w:rsid w:val="00F91DDE"/>
    <w:rsid w:val="00F9461D"/>
    <w:rsid w:val="00F97A1B"/>
    <w:rsid w:val="00FA0F75"/>
    <w:rsid w:val="00FA2C18"/>
    <w:rsid w:val="00FA3C80"/>
    <w:rsid w:val="00FA3C98"/>
    <w:rsid w:val="00FA66B3"/>
    <w:rsid w:val="00FA6B1A"/>
    <w:rsid w:val="00FA74DE"/>
    <w:rsid w:val="00FB017C"/>
    <w:rsid w:val="00FB31E0"/>
    <w:rsid w:val="00FB37B9"/>
    <w:rsid w:val="00FB4063"/>
    <w:rsid w:val="00FC08F4"/>
    <w:rsid w:val="00FC0F12"/>
    <w:rsid w:val="00FC13B5"/>
    <w:rsid w:val="00FC2CAC"/>
    <w:rsid w:val="00FC2CFD"/>
    <w:rsid w:val="00FC4DF6"/>
    <w:rsid w:val="00FC62AB"/>
    <w:rsid w:val="00FC648A"/>
    <w:rsid w:val="00FC6C2D"/>
    <w:rsid w:val="00FC7E42"/>
    <w:rsid w:val="00FD0456"/>
    <w:rsid w:val="00FD0A30"/>
    <w:rsid w:val="00FD16E3"/>
    <w:rsid w:val="00FD4A34"/>
    <w:rsid w:val="00FD5147"/>
    <w:rsid w:val="00FD54CD"/>
    <w:rsid w:val="00FD6209"/>
    <w:rsid w:val="00FD7A3F"/>
    <w:rsid w:val="00FE3084"/>
    <w:rsid w:val="00FE68DC"/>
    <w:rsid w:val="00FF073D"/>
    <w:rsid w:val="00FF0844"/>
    <w:rsid w:val="00FF21B4"/>
    <w:rsid w:val="00FF3425"/>
    <w:rsid w:val="00FF412F"/>
    <w:rsid w:val="00FF4383"/>
    <w:rsid w:val="00FF4E3B"/>
    <w:rsid w:val="00FF5497"/>
    <w:rsid w:val="00FF5795"/>
    <w:rsid w:val="00FF7C20"/>
    <w:rsid w:val="013E7FFC"/>
    <w:rsid w:val="02178403"/>
    <w:rsid w:val="053F7C8A"/>
    <w:rsid w:val="060D0091"/>
    <w:rsid w:val="0719536E"/>
    <w:rsid w:val="07D7C6B2"/>
    <w:rsid w:val="07DDBAFF"/>
    <w:rsid w:val="08F32A52"/>
    <w:rsid w:val="0A5F2657"/>
    <w:rsid w:val="0D7F7061"/>
    <w:rsid w:val="0DF2EB6D"/>
    <w:rsid w:val="0E15535C"/>
    <w:rsid w:val="0FF99841"/>
    <w:rsid w:val="1079AB2E"/>
    <w:rsid w:val="10C18548"/>
    <w:rsid w:val="1276857D"/>
    <w:rsid w:val="12B4DB3E"/>
    <w:rsid w:val="12E57574"/>
    <w:rsid w:val="13D7BDAD"/>
    <w:rsid w:val="1431CD90"/>
    <w:rsid w:val="1456CBB1"/>
    <w:rsid w:val="1468195E"/>
    <w:rsid w:val="14D76295"/>
    <w:rsid w:val="1570FE58"/>
    <w:rsid w:val="163B826F"/>
    <w:rsid w:val="174AD53C"/>
    <w:rsid w:val="1753BDE6"/>
    <w:rsid w:val="1BBFEA02"/>
    <w:rsid w:val="1CC7AD48"/>
    <w:rsid w:val="1D85AD1E"/>
    <w:rsid w:val="1DF49049"/>
    <w:rsid w:val="1FBC8687"/>
    <w:rsid w:val="20196F6B"/>
    <w:rsid w:val="20269F08"/>
    <w:rsid w:val="2068432A"/>
    <w:rsid w:val="228DEC8A"/>
    <w:rsid w:val="22978C0C"/>
    <w:rsid w:val="238FC326"/>
    <w:rsid w:val="23FD88B7"/>
    <w:rsid w:val="24932D59"/>
    <w:rsid w:val="2493D8B5"/>
    <w:rsid w:val="25699A0A"/>
    <w:rsid w:val="2574164B"/>
    <w:rsid w:val="25E47725"/>
    <w:rsid w:val="27317A00"/>
    <w:rsid w:val="27BDA117"/>
    <w:rsid w:val="2818490D"/>
    <w:rsid w:val="2899355F"/>
    <w:rsid w:val="28DE62B3"/>
    <w:rsid w:val="295F1698"/>
    <w:rsid w:val="2AAD7D5A"/>
    <w:rsid w:val="2B35C553"/>
    <w:rsid w:val="2C8EB581"/>
    <w:rsid w:val="2DE608E8"/>
    <w:rsid w:val="2DF08529"/>
    <w:rsid w:val="2DFC0277"/>
    <w:rsid w:val="2E95AD67"/>
    <w:rsid w:val="2EF00152"/>
    <w:rsid w:val="2F34F841"/>
    <w:rsid w:val="2F6FF561"/>
    <w:rsid w:val="306E703E"/>
    <w:rsid w:val="30FF97ED"/>
    <w:rsid w:val="31676963"/>
    <w:rsid w:val="31CCB6B1"/>
    <w:rsid w:val="3217FDC1"/>
    <w:rsid w:val="33CBC135"/>
    <w:rsid w:val="3586E409"/>
    <w:rsid w:val="35E6641B"/>
    <w:rsid w:val="35FBA513"/>
    <w:rsid w:val="361D80D7"/>
    <w:rsid w:val="369FC834"/>
    <w:rsid w:val="36DE2297"/>
    <w:rsid w:val="36E423D2"/>
    <w:rsid w:val="37811C40"/>
    <w:rsid w:val="3852B385"/>
    <w:rsid w:val="38C3145F"/>
    <w:rsid w:val="3B7357F4"/>
    <w:rsid w:val="3BFCCBDD"/>
    <w:rsid w:val="3C469C7C"/>
    <w:rsid w:val="3CA6B406"/>
    <w:rsid w:val="3CBCFBEA"/>
    <w:rsid w:val="3DC60CEB"/>
    <w:rsid w:val="3F2E59D4"/>
    <w:rsid w:val="3F68D482"/>
    <w:rsid w:val="4147AD6A"/>
    <w:rsid w:val="4215EFEE"/>
    <w:rsid w:val="4355ED08"/>
    <w:rsid w:val="45E00291"/>
    <w:rsid w:val="4619C128"/>
    <w:rsid w:val="46D7842A"/>
    <w:rsid w:val="46F689CF"/>
    <w:rsid w:val="47779557"/>
    <w:rsid w:val="48F1963D"/>
    <w:rsid w:val="4ACBC61A"/>
    <w:rsid w:val="4AD48CFA"/>
    <w:rsid w:val="4BAF5603"/>
    <w:rsid w:val="4BC2700C"/>
    <w:rsid w:val="4CB12C9F"/>
    <w:rsid w:val="4CFF97C9"/>
    <w:rsid w:val="50A6A92D"/>
    <w:rsid w:val="50D69B0C"/>
    <w:rsid w:val="50E55B0C"/>
    <w:rsid w:val="52505A66"/>
    <w:rsid w:val="541CFBCE"/>
    <w:rsid w:val="5552C34E"/>
    <w:rsid w:val="55D1BAE1"/>
    <w:rsid w:val="5604082E"/>
    <w:rsid w:val="5616CEF5"/>
    <w:rsid w:val="56FE55EB"/>
    <w:rsid w:val="571290CB"/>
    <w:rsid w:val="571C43A5"/>
    <w:rsid w:val="5A813FEB"/>
    <w:rsid w:val="5CDFAE7D"/>
    <w:rsid w:val="5D174B37"/>
    <w:rsid w:val="5D9E7CAD"/>
    <w:rsid w:val="5DF7E9F4"/>
    <w:rsid w:val="5E616BB8"/>
    <w:rsid w:val="5EB31B98"/>
    <w:rsid w:val="5EC70192"/>
    <w:rsid w:val="5ED1C000"/>
    <w:rsid w:val="5FCEB9A4"/>
    <w:rsid w:val="60DACED1"/>
    <w:rsid w:val="6191C961"/>
    <w:rsid w:val="639834CC"/>
    <w:rsid w:val="65A1144A"/>
    <w:rsid w:val="66E2EBC8"/>
    <w:rsid w:val="68A9F783"/>
    <w:rsid w:val="699690D8"/>
    <w:rsid w:val="6A299A31"/>
    <w:rsid w:val="6B2EA23D"/>
    <w:rsid w:val="6B65EADC"/>
    <w:rsid w:val="6B82DE8D"/>
    <w:rsid w:val="6C4C1CEF"/>
    <w:rsid w:val="6C88A333"/>
    <w:rsid w:val="72F55501"/>
    <w:rsid w:val="73DC6CA2"/>
    <w:rsid w:val="73F8BF34"/>
    <w:rsid w:val="76688074"/>
    <w:rsid w:val="793129FF"/>
    <w:rsid w:val="799E2DB0"/>
    <w:rsid w:val="79A9811E"/>
    <w:rsid w:val="7A6E59AC"/>
    <w:rsid w:val="7BC853E0"/>
    <w:rsid w:val="7C1DB909"/>
    <w:rsid w:val="7D081979"/>
    <w:rsid w:val="7D36DD63"/>
    <w:rsid w:val="7EB1660B"/>
    <w:rsid w:val="7F6740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E6F00"/>
  <w15:docId w15:val="{6E74DC51-C79B-4B6E-B6FA-0FF88DA8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9DE"/>
    <w:pPr>
      <w:jc w:val="center"/>
    </w:pPr>
    <w:rPr>
      <w:rFonts w:ascii="Roboto" w:hAnsi="Roboto"/>
      <w:sz w:val="22"/>
    </w:rPr>
  </w:style>
  <w:style w:type="paragraph" w:styleId="Heading1">
    <w:name w:val="heading 1"/>
    <w:basedOn w:val="Normal"/>
    <w:next w:val="Vade-Mecum0"/>
    <w:link w:val="Heading1Char"/>
    <w:uiPriority w:val="9"/>
    <w:rsid w:val="00B942FD"/>
    <w:pPr>
      <w:keepNext/>
      <w:keepLines/>
      <w:numPr>
        <w:numId w:val="5"/>
      </w:numPr>
      <w:spacing w:before="480" w:after="0"/>
      <w:outlineLvl w:val="0"/>
    </w:pPr>
    <w:rPr>
      <w:rFonts w:ascii="Verdana" w:eastAsiaTheme="majorEastAsia" w:hAnsi="Verdana" w:cstheme="majorBidi"/>
      <w:b/>
      <w:bCs/>
      <w:color w:val="365F91" w:themeColor="accent1" w:themeShade="BF"/>
      <w:lang w:val="nl-BE"/>
    </w:rPr>
  </w:style>
  <w:style w:type="paragraph" w:styleId="Heading2">
    <w:name w:val="heading 2"/>
    <w:basedOn w:val="Vade-Mecum0"/>
    <w:next w:val="Heading3"/>
    <w:link w:val="Heading2Char"/>
    <w:uiPriority w:val="9"/>
    <w:unhideWhenUsed/>
    <w:rsid w:val="006C5DC8"/>
    <w:pPr>
      <w:numPr>
        <w:ilvl w:val="1"/>
        <w:numId w:val="5"/>
      </w:numPr>
      <w:spacing w:before="200"/>
      <w:outlineLvl w:val="1"/>
    </w:pPr>
    <w:rPr>
      <w:b/>
      <w:bCs/>
      <w:color w:val="4F81BD" w:themeColor="accent1"/>
      <w:sz w:val="26"/>
      <w:szCs w:val="26"/>
      <w:lang w:val="nl-BE"/>
    </w:rPr>
  </w:style>
  <w:style w:type="paragraph" w:styleId="Heading3">
    <w:name w:val="heading 3"/>
    <w:basedOn w:val="Normal"/>
    <w:next w:val="Vade-Mecum0"/>
    <w:link w:val="Heading3Char"/>
    <w:uiPriority w:val="9"/>
    <w:unhideWhenUsed/>
    <w:rsid w:val="007E7043"/>
    <w:pPr>
      <w:keepNext/>
      <w:keepLines/>
      <w:numPr>
        <w:ilvl w:val="2"/>
        <w:numId w:val="5"/>
      </w:numPr>
      <w:spacing w:before="200" w:after="0"/>
      <w:outlineLvl w:val="2"/>
    </w:pPr>
    <w:rPr>
      <w:rFonts w:ascii="Verdana" w:eastAsiaTheme="majorEastAsia" w:hAnsi="Verdana" w:cstheme="majorBidi"/>
      <w:b/>
      <w:bCs/>
      <w:color w:val="4F81BD" w:themeColor="accent1"/>
      <w:lang w:val="nl-BE"/>
    </w:rPr>
  </w:style>
  <w:style w:type="paragraph" w:styleId="Heading4">
    <w:name w:val="heading 4"/>
    <w:basedOn w:val="Normal"/>
    <w:next w:val="Normal"/>
    <w:link w:val="Heading4Char"/>
    <w:uiPriority w:val="9"/>
    <w:semiHidden/>
    <w:unhideWhenUsed/>
    <w:qFormat/>
    <w:rsid w:val="004B6A91"/>
    <w:pPr>
      <w:keepNext/>
      <w:keepLines/>
      <w:numPr>
        <w:ilvl w:val="3"/>
        <w:numId w:val="5"/>
      </w:numPr>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4B6A91"/>
    <w:pPr>
      <w:keepNext/>
      <w:keepLines/>
      <w:numPr>
        <w:ilvl w:val="4"/>
        <w:numId w:val="5"/>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4B6A91"/>
    <w:pPr>
      <w:keepNext/>
      <w:keepLines/>
      <w:numPr>
        <w:ilvl w:val="5"/>
        <w:numId w:val="5"/>
      </w:numPr>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4B6A91"/>
    <w:pPr>
      <w:keepNext/>
      <w:keepLines/>
      <w:numPr>
        <w:ilvl w:val="6"/>
        <w:numId w:val="5"/>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4B6A91"/>
    <w:pPr>
      <w:keepNext/>
      <w:keepLines/>
      <w:numPr>
        <w:ilvl w:val="7"/>
        <w:numId w:val="5"/>
      </w:numPr>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4B6A91"/>
    <w:pPr>
      <w:keepNext/>
      <w:keepLines/>
      <w:numPr>
        <w:ilvl w:val="8"/>
        <w:numId w:val="5"/>
      </w:numPr>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de-Mecum0">
    <w:name w:val="Vade-Mecum"/>
    <w:basedOn w:val="Normal"/>
    <w:link w:val="Vade-MecumCar"/>
    <w:qFormat/>
    <w:rsid w:val="00885ACE"/>
    <w:pPr>
      <w:jc w:val="left"/>
    </w:pPr>
    <w:rPr>
      <w:color w:val="262626" w:themeColor="text1" w:themeTint="D9"/>
      <w:lang w:val="fr-BE"/>
    </w:rPr>
  </w:style>
  <w:style w:type="character" w:customStyle="1" w:styleId="Vade-MecumCar">
    <w:name w:val="Vade-Mecum Car"/>
    <w:basedOn w:val="DefaultParagraphFont"/>
    <w:link w:val="Vade-Mecum0"/>
    <w:rsid w:val="00885ACE"/>
    <w:rPr>
      <w:rFonts w:ascii="Roboto" w:hAnsi="Roboto"/>
      <w:color w:val="262626" w:themeColor="text1" w:themeTint="D9"/>
      <w:sz w:val="22"/>
      <w:lang w:val="fr-BE"/>
    </w:rPr>
  </w:style>
  <w:style w:type="character" w:customStyle="1" w:styleId="Heading1Char">
    <w:name w:val="Heading 1 Char"/>
    <w:basedOn w:val="DefaultParagraphFont"/>
    <w:link w:val="Heading1"/>
    <w:uiPriority w:val="9"/>
    <w:rsid w:val="00B942FD"/>
    <w:rPr>
      <w:rFonts w:ascii="Verdana" w:eastAsiaTheme="majorEastAsia" w:hAnsi="Verdana" w:cstheme="majorBidi"/>
      <w:b/>
      <w:bCs/>
      <w:color w:val="365F91" w:themeColor="accent1" w:themeShade="BF"/>
      <w:sz w:val="22"/>
      <w:lang w:val="nl-BE"/>
    </w:rPr>
  </w:style>
  <w:style w:type="character" w:customStyle="1" w:styleId="Heading2Char">
    <w:name w:val="Heading 2 Char"/>
    <w:basedOn w:val="DefaultParagraphFont"/>
    <w:link w:val="Heading2"/>
    <w:uiPriority w:val="9"/>
    <w:rsid w:val="006C5DC8"/>
    <w:rPr>
      <w:rFonts w:ascii="Roboto" w:hAnsi="Roboto"/>
      <w:b/>
      <w:bCs/>
      <w:color w:val="4F81BD" w:themeColor="accent1"/>
      <w:sz w:val="26"/>
      <w:szCs w:val="26"/>
      <w:lang w:val="nl-BE"/>
    </w:rPr>
  </w:style>
  <w:style w:type="character" w:customStyle="1" w:styleId="Heading3Char">
    <w:name w:val="Heading 3 Char"/>
    <w:basedOn w:val="DefaultParagraphFont"/>
    <w:link w:val="Heading3"/>
    <w:uiPriority w:val="9"/>
    <w:rsid w:val="007E7043"/>
    <w:rPr>
      <w:rFonts w:ascii="Verdana" w:eastAsiaTheme="majorEastAsia" w:hAnsi="Verdana" w:cstheme="majorBidi"/>
      <w:b/>
      <w:bCs/>
      <w:color w:val="4F81BD" w:themeColor="accent1"/>
      <w:sz w:val="22"/>
      <w:lang w:val="nl-BE"/>
    </w:rPr>
  </w:style>
  <w:style w:type="paragraph" w:styleId="Header">
    <w:name w:val="header"/>
    <w:basedOn w:val="Normal"/>
    <w:link w:val="HeaderChar"/>
    <w:uiPriority w:val="99"/>
    <w:unhideWhenUsed/>
    <w:rsid w:val="00B942FD"/>
    <w:pPr>
      <w:tabs>
        <w:tab w:val="center" w:pos="4513"/>
        <w:tab w:val="right" w:pos="9026"/>
      </w:tabs>
      <w:spacing w:after="0" w:line="240" w:lineRule="auto"/>
    </w:pPr>
    <w:rPr>
      <w:lang w:val="nl-BE"/>
    </w:rPr>
  </w:style>
  <w:style w:type="character" w:customStyle="1" w:styleId="HeaderChar">
    <w:name w:val="Header Char"/>
    <w:basedOn w:val="DefaultParagraphFont"/>
    <w:link w:val="Header"/>
    <w:uiPriority w:val="99"/>
    <w:rsid w:val="00B942FD"/>
    <w:rPr>
      <w:lang w:val="nl-BE"/>
    </w:rPr>
  </w:style>
  <w:style w:type="paragraph" w:styleId="Footer">
    <w:name w:val="footer"/>
    <w:basedOn w:val="Normal"/>
    <w:link w:val="FooterChar"/>
    <w:uiPriority w:val="99"/>
    <w:unhideWhenUsed/>
    <w:rsid w:val="00B942FD"/>
    <w:pPr>
      <w:tabs>
        <w:tab w:val="center" w:pos="4513"/>
        <w:tab w:val="right" w:pos="9026"/>
      </w:tabs>
      <w:spacing w:after="0" w:line="240" w:lineRule="auto"/>
    </w:pPr>
    <w:rPr>
      <w:lang w:val="nl-BE"/>
    </w:rPr>
  </w:style>
  <w:style w:type="character" w:customStyle="1" w:styleId="FooterChar">
    <w:name w:val="Footer Char"/>
    <w:basedOn w:val="DefaultParagraphFont"/>
    <w:link w:val="Footer"/>
    <w:uiPriority w:val="99"/>
    <w:rsid w:val="00B942FD"/>
    <w:rPr>
      <w:lang w:val="nl-BE"/>
    </w:rPr>
  </w:style>
  <w:style w:type="paragraph" w:styleId="NoSpacing">
    <w:name w:val="No Spacing"/>
    <w:uiPriority w:val="1"/>
    <w:qFormat/>
    <w:rsid w:val="00B942FD"/>
    <w:pPr>
      <w:spacing w:after="0" w:line="240" w:lineRule="auto"/>
    </w:pPr>
  </w:style>
  <w:style w:type="paragraph" w:styleId="TOC1">
    <w:name w:val="toc 1"/>
    <w:basedOn w:val="Normal"/>
    <w:next w:val="Normal"/>
    <w:autoRedefine/>
    <w:uiPriority w:val="39"/>
    <w:unhideWhenUsed/>
    <w:rsid w:val="0013631F"/>
    <w:pPr>
      <w:tabs>
        <w:tab w:val="right" w:leader="dot" w:pos="9016"/>
      </w:tabs>
      <w:spacing w:after="100"/>
    </w:pPr>
    <w:rPr>
      <w:rFonts w:eastAsiaTheme="majorEastAsia" w:cstheme="majorBidi"/>
      <w:noProof/>
      <w:lang w:val="nl-BE"/>
    </w:rPr>
  </w:style>
  <w:style w:type="paragraph" w:styleId="TOC2">
    <w:name w:val="toc 2"/>
    <w:basedOn w:val="Normal"/>
    <w:next w:val="Normal"/>
    <w:autoRedefine/>
    <w:uiPriority w:val="39"/>
    <w:unhideWhenUsed/>
    <w:rsid w:val="001D6EB2"/>
    <w:pPr>
      <w:tabs>
        <w:tab w:val="right" w:leader="dot" w:pos="9016"/>
      </w:tabs>
      <w:spacing w:after="100"/>
      <w:ind w:left="220"/>
    </w:pPr>
  </w:style>
  <w:style w:type="paragraph" w:styleId="TOC3">
    <w:name w:val="toc 3"/>
    <w:basedOn w:val="Normal"/>
    <w:next w:val="Normal"/>
    <w:autoRedefine/>
    <w:uiPriority w:val="39"/>
    <w:unhideWhenUsed/>
    <w:rsid w:val="003A73CF"/>
    <w:pPr>
      <w:spacing w:after="100"/>
      <w:ind w:left="440"/>
    </w:pPr>
  </w:style>
  <w:style w:type="character" w:styleId="Hyperlink">
    <w:name w:val="Hyperlink"/>
    <w:basedOn w:val="DefaultParagraphFont"/>
    <w:uiPriority w:val="99"/>
    <w:unhideWhenUsed/>
    <w:rsid w:val="004B6A91"/>
    <w:rPr>
      <w:color w:val="0000FF" w:themeColor="hyperlink"/>
      <w:u w:val="single"/>
    </w:rPr>
  </w:style>
  <w:style w:type="character" w:customStyle="1" w:styleId="Heading4Char">
    <w:name w:val="Heading 4 Char"/>
    <w:basedOn w:val="DefaultParagraphFont"/>
    <w:link w:val="Heading4"/>
    <w:uiPriority w:val="9"/>
    <w:semiHidden/>
    <w:rsid w:val="004B6A91"/>
    <w:rPr>
      <w:rFonts w:ascii="Roboto" w:eastAsiaTheme="majorEastAsia" w:hAnsi="Roboto" w:cstheme="majorBidi"/>
      <w:b/>
      <w:bCs/>
      <w:i/>
      <w:iCs/>
      <w:color w:val="4F81BD" w:themeColor="accent1"/>
      <w:sz w:val="22"/>
    </w:rPr>
  </w:style>
  <w:style w:type="character" w:customStyle="1" w:styleId="Heading5Char">
    <w:name w:val="Heading 5 Char"/>
    <w:basedOn w:val="DefaultParagraphFont"/>
    <w:link w:val="Heading5"/>
    <w:uiPriority w:val="9"/>
    <w:semiHidden/>
    <w:rsid w:val="004B6A91"/>
    <w:rPr>
      <w:rFonts w:ascii="Roboto" w:eastAsiaTheme="majorEastAsia" w:hAnsi="Roboto" w:cstheme="majorBidi"/>
      <w:color w:val="243F60" w:themeColor="accent1" w:themeShade="7F"/>
      <w:sz w:val="22"/>
    </w:rPr>
  </w:style>
  <w:style w:type="character" w:customStyle="1" w:styleId="Heading6Char">
    <w:name w:val="Heading 6 Char"/>
    <w:basedOn w:val="DefaultParagraphFont"/>
    <w:link w:val="Heading6"/>
    <w:uiPriority w:val="9"/>
    <w:semiHidden/>
    <w:rsid w:val="004B6A91"/>
    <w:rPr>
      <w:rFonts w:ascii="Roboto" w:eastAsiaTheme="majorEastAsia" w:hAnsi="Roboto" w:cstheme="majorBidi"/>
      <w:i/>
      <w:iCs/>
      <w:color w:val="243F60" w:themeColor="accent1" w:themeShade="7F"/>
      <w:sz w:val="22"/>
    </w:rPr>
  </w:style>
  <w:style w:type="character" w:customStyle="1" w:styleId="Heading7Char">
    <w:name w:val="Heading 7 Char"/>
    <w:basedOn w:val="DefaultParagraphFont"/>
    <w:link w:val="Heading7"/>
    <w:uiPriority w:val="9"/>
    <w:semiHidden/>
    <w:rsid w:val="004B6A91"/>
    <w:rPr>
      <w:rFonts w:ascii="Roboto" w:eastAsiaTheme="majorEastAsia" w:hAnsi="Roboto" w:cstheme="majorBidi"/>
      <w:i/>
      <w:iCs/>
      <w:color w:val="404040" w:themeColor="text1" w:themeTint="BF"/>
      <w:sz w:val="22"/>
    </w:rPr>
  </w:style>
  <w:style w:type="character" w:customStyle="1" w:styleId="Heading8Char">
    <w:name w:val="Heading 8 Char"/>
    <w:basedOn w:val="DefaultParagraphFont"/>
    <w:link w:val="Heading8"/>
    <w:uiPriority w:val="9"/>
    <w:semiHidden/>
    <w:rsid w:val="004B6A91"/>
    <w:rPr>
      <w:rFonts w:ascii="Roboto" w:eastAsiaTheme="majorEastAsia" w:hAnsi="Roboto" w:cstheme="majorBidi"/>
      <w:color w:val="404040" w:themeColor="text1" w:themeTint="BF"/>
      <w:sz w:val="22"/>
      <w:szCs w:val="20"/>
    </w:rPr>
  </w:style>
  <w:style w:type="character" w:customStyle="1" w:styleId="Heading9Char">
    <w:name w:val="Heading 9 Char"/>
    <w:basedOn w:val="DefaultParagraphFont"/>
    <w:link w:val="Heading9"/>
    <w:uiPriority w:val="9"/>
    <w:semiHidden/>
    <w:rsid w:val="004B6A91"/>
    <w:rPr>
      <w:rFonts w:ascii="Roboto" w:eastAsiaTheme="majorEastAsia" w:hAnsi="Roboto" w:cstheme="majorBidi"/>
      <w:i/>
      <w:iCs/>
      <w:color w:val="404040" w:themeColor="text1" w:themeTint="BF"/>
      <w:sz w:val="22"/>
      <w:szCs w:val="20"/>
    </w:rPr>
  </w:style>
  <w:style w:type="paragraph" w:styleId="Title">
    <w:name w:val="Title"/>
    <w:basedOn w:val="Vade-Mecum0"/>
    <w:next w:val="Vade-Mecum0"/>
    <w:link w:val="TitleChar"/>
    <w:uiPriority w:val="10"/>
    <w:rsid w:val="00795744"/>
    <w:pPr>
      <w:pBdr>
        <w:bottom w:val="single" w:sz="8" w:space="4" w:color="4F81BD" w:themeColor="accent1"/>
      </w:pBdr>
      <w:spacing w:after="300" w:line="240" w:lineRule="auto"/>
      <w:contextualSpacing/>
      <w:jc w:val="both"/>
    </w:pPr>
    <w:rPr>
      <w:b/>
      <w:color w:val="17365D" w:themeColor="text2" w:themeShade="BF"/>
      <w:spacing w:val="5"/>
      <w:kern w:val="28"/>
      <w:sz w:val="28"/>
      <w:szCs w:val="52"/>
    </w:rPr>
  </w:style>
  <w:style w:type="character" w:customStyle="1" w:styleId="TitleChar">
    <w:name w:val="Title Char"/>
    <w:basedOn w:val="DefaultParagraphFont"/>
    <w:link w:val="Title"/>
    <w:uiPriority w:val="10"/>
    <w:rsid w:val="00795744"/>
    <w:rPr>
      <w:rFonts w:eastAsiaTheme="majorEastAsia" w:cstheme="majorBidi"/>
      <w:b/>
      <w:bCs/>
      <w:color w:val="17365D" w:themeColor="text2" w:themeShade="BF"/>
      <w:spacing w:val="5"/>
      <w:kern w:val="28"/>
      <w:szCs w:val="52"/>
      <w:lang w:val="fr-BE"/>
    </w:rPr>
  </w:style>
  <w:style w:type="numbering" w:customStyle="1" w:styleId="Vade-mecum">
    <w:name w:val="Vade-mecum"/>
    <w:uiPriority w:val="99"/>
    <w:rsid w:val="0069377F"/>
    <w:pPr>
      <w:numPr>
        <w:numId w:val="6"/>
      </w:numPr>
    </w:pPr>
  </w:style>
  <w:style w:type="paragraph" w:styleId="ListParagraph">
    <w:name w:val="List Paragraph"/>
    <w:basedOn w:val="Normal"/>
    <w:link w:val="ListParagraphChar"/>
    <w:uiPriority w:val="34"/>
    <w:qFormat/>
    <w:rsid w:val="00D4090B"/>
    <w:pPr>
      <w:ind w:left="720"/>
      <w:contextualSpacing/>
    </w:pPr>
  </w:style>
  <w:style w:type="paragraph" w:styleId="BodyText">
    <w:name w:val="Body Text"/>
    <w:basedOn w:val="Normal"/>
    <w:link w:val="BodyTextChar"/>
    <w:uiPriority w:val="99"/>
    <w:semiHidden/>
    <w:unhideWhenUsed/>
    <w:rsid w:val="00D4090B"/>
    <w:pPr>
      <w:spacing w:after="120"/>
    </w:pPr>
  </w:style>
  <w:style w:type="character" w:customStyle="1" w:styleId="BodyTextChar">
    <w:name w:val="Body Text Char"/>
    <w:basedOn w:val="DefaultParagraphFont"/>
    <w:link w:val="BodyText"/>
    <w:uiPriority w:val="99"/>
    <w:semiHidden/>
    <w:rsid w:val="00D4090B"/>
  </w:style>
  <w:style w:type="paragraph" w:styleId="TOCHeading">
    <w:name w:val="TOC Heading"/>
    <w:basedOn w:val="Heading1"/>
    <w:next w:val="Normal"/>
    <w:uiPriority w:val="39"/>
    <w:unhideWhenUsed/>
    <w:qFormat/>
    <w:rsid w:val="0064137C"/>
    <w:pPr>
      <w:numPr>
        <w:numId w:val="0"/>
      </w:numPr>
      <w:outlineLvl w:val="9"/>
    </w:pPr>
    <w:rPr>
      <w:rFonts w:asciiTheme="majorHAnsi" w:hAnsiTheme="majorHAnsi"/>
      <w:lang w:val="en-US" w:eastAsia="ja-JP"/>
    </w:rPr>
  </w:style>
  <w:style w:type="paragraph" w:styleId="BalloonText">
    <w:name w:val="Balloon Text"/>
    <w:basedOn w:val="Normal"/>
    <w:link w:val="BalloonTextChar"/>
    <w:uiPriority w:val="99"/>
    <w:semiHidden/>
    <w:unhideWhenUsed/>
    <w:rsid w:val="00641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37C"/>
    <w:rPr>
      <w:rFonts w:ascii="Tahoma" w:hAnsi="Tahoma" w:cs="Tahoma"/>
      <w:sz w:val="16"/>
      <w:szCs w:val="16"/>
    </w:rPr>
  </w:style>
  <w:style w:type="paragraph" w:customStyle="1" w:styleId="Vade-mecumtitre1">
    <w:name w:val="Vade-mecum titre 1"/>
    <w:basedOn w:val="Heading1"/>
    <w:next w:val="Vade-Mecum0"/>
    <w:qFormat/>
    <w:rsid w:val="00946423"/>
    <w:pPr>
      <w:spacing w:before="600" w:after="120"/>
      <w:jc w:val="left"/>
    </w:pPr>
    <w:rPr>
      <w:rFonts w:ascii="Lora" w:hAnsi="Lora"/>
      <w:color w:val="3F4A53"/>
      <w:sz w:val="36"/>
    </w:rPr>
  </w:style>
  <w:style w:type="paragraph" w:customStyle="1" w:styleId="Vade-mecumtitre2">
    <w:name w:val="Vade-mecum titre 2"/>
    <w:basedOn w:val="Heading2"/>
    <w:next w:val="Vade-Mecum0"/>
    <w:qFormat/>
    <w:rsid w:val="00946423"/>
    <w:rPr>
      <w:rFonts w:ascii="Lora" w:hAnsi="Lora"/>
      <w:color w:val="917562"/>
      <w:sz w:val="30"/>
      <w:lang w:val="fr-BE"/>
    </w:rPr>
  </w:style>
  <w:style w:type="paragraph" w:customStyle="1" w:styleId="Vade-mecumtitre3">
    <w:name w:val="Vade-mecum titre 3"/>
    <w:basedOn w:val="Heading3"/>
    <w:next w:val="Vade-Mecum0"/>
    <w:qFormat/>
    <w:rsid w:val="00946423"/>
    <w:pPr>
      <w:spacing w:before="320" w:after="120"/>
      <w:jc w:val="left"/>
    </w:pPr>
    <w:rPr>
      <w:rFonts w:ascii="Lora" w:hAnsi="Lora"/>
      <w:color w:val="A48A78"/>
      <w:sz w:val="26"/>
      <w:lang w:val="fr-BE"/>
    </w:rPr>
  </w:style>
  <w:style w:type="paragraph" w:styleId="TOC4">
    <w:name w:val="toc 4"/>
    <w:basedOn w:val="Normal"/>
    <w:next w:val="Normal"/>
    <w:autoRedefine/>
    <w:uiPriority w:val="39"/>
    <w:unhideWhenUsed/>
    <w:rsid w:val="003A73CF"/>
    <w:pPr>
      <w:spacing w:after="100"/>
      <w:ind w:left="840"/>
    </w:pPr>
  </w:style>
  <w:style w:type="paragraph" w:styleId="FootnoteText">
    <w:name w:val="footnote text"/>
    <w:aliases w:val="Texto nota pie Car Car,S4 Note de bas de page"/>
    <w:basedOn w:val="Normal"/>
    <w:link w:val="FootnoteTextChar"/>
    <w:uiPriority w:val="99"/>
    <w:unhideWhenUsed/>
    <w:rsid w:val="002C3240"/>
    <w:pPr>
      <w:spacing w:after="0" w:line="240" w:lineRule="auto"/>
      <w:jc w:val="left"/>
    </w:pPr>
    <w:rPr>
      <w:rFonts w:ascii="Calibri" w:eastAsia="Calibri" w:hAnsi="Calibri" w:cs="Times New Roman"/>
      <w:sz w:val="20"/>
      <w:szCs w:val="20"/>
    </w:rPr>
  </w:style>
  <w:style w:type="character" w:customStyle="1" w:styleId="FootnoteTextChar">
    <w:name w:val="Footnote Text Char"/>
    <w:aliases w:val="Texto nota pie Car Car Char,S4 Note de bas de page Char"/>
    <w:basedOn w:val="DefaultParagraphFont"/>
    <w:link w:val="FootnoteText"/>
    <w:uiPriority w:val="99"/>
    <w:rsid w:val="002C3240"/>
    <w:rPr>
      <w:rFonts w:ascii="Calibri" w:eastAsia="Calibri" w:hAnsi="Calibri" w:cs="Times New Roman"/>
      <w:sz w:val="20"/>
      <w:szCs w:val="20"/>
    </w:rPr>
  </w:style>
  <w:style w:type="paragraph" w:styleId="CommentText">
    <w:name w:val="annotation text"/>
    <w:basedOn w:val="Normal"/>
    <w:link w:val="CommentTextChar"/>
    <w:uiPriority w:val="99"/>
    <w:unhideWhenUsed/>
    <w:rsid w:val="002C3240"/>
    <w:pPr>
      <w:spacing w:after="0" w:line="240" w:lineRule="auto"/>
      <w:jc w:val="left"/>
    </w:pPr>
    <w:rPr>
      <w:rFonts w:eastAsia="Calibri" w:cs="Calibri"/>
      <w:sz w:val="20"/>
      <w:szCs w:val="20"/>
    </w:rPr>
  </w:style>
  <w:style w:type="character" w:customStyle="1" w:styleId="CommentTextChar">
    <w:name w:val="Comment Text Char"/>
    <w:basedOn w:val="DefaultParagraphFont"/>
    <w:link w:val="CommentText"/>
    <w:uiPriority w:val="99"/>
    <w:rsid w:val="002C3240"/>
    <w:rPr>
      <w:rFonts w:ascii="Roboto" w:eastAsia="Calibri" w:hAnsi="Roboto" w:cs="Calibri"/>
      <w:sz w:val="20"/>
      <w:szCs w:val="20"/>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unhideWhenUsed/>
    <w:rsid w:val="002C3240"/>
    <w:rPr>
      <w:vertAlign w:val="superscript"/>
    </w:rPr>
  </w:style>
  <w:style w:type="character" w:styleId="CommentReference">
    <w:name w:val="annotation reference"/>
    <w:basedOn w:val="DefaultParagraphFont"/>
    <w:uiPriority w:val="99"/>
    <w:unhideWhenUsed/>
    <w:rsid w:val="002C3240"/>
    <w:rPr>
      <w:sz w:val="16"/>
      <w:szCs w:val="16"/>
    </w:rPr>
  </w:style>
  <w:style w:type="paragraph" w:styleId="CommentSubject">
    <w:name w:val="annotation subject"/>
    <w:basedOn w:val="CommentText"/>
    <w:next w:val="CommentText"/>
    <w:link w:val="CommentSubjectChar"/>
    <w:uiPriority w:val="99"/>
    <w:semiHidden/>
    <w:unhideWhenUsed/>
    <w:rsid w:val="00503162"/>
    <w:pPr>
      <w:spacing w:after="200"/>
      <w:jc w:val="center"/>
    </w:pPr>
    <w:rPr>
      <w:rFonts w:eastAsiaTheme="minorHAnsi" w:cstheme="minorBidi"/>
      <w:b/>
      <w:bCs/>
    </w:rPr>
  </w:style>
  <w:style w:type="character" w:customStyle="1" w:styleId="CommentSubjectChar">
    <w:name w:val="Comment Subject Char"/>
    <w:basedOn w:val="CommentTextChar"/>
    <w:link w:val="CommentSubject"/>
    <w:uiPriority w:val="99"/>
    <w:semiHidden/>
    <w:rsid w:val="00503162"/>
    <w:rPr>
      <w:rFonts w:ascii="Roboto" w:eastAsia="Calibri" w:hAnsi="Roboto" w:cs="Calibri"/>
      <w:b/>
      <w:bCs/>
      <w:sz w:val="20"/>
      <w:szCs w:val="20"/>
    </w:rPr>
  </w:style>
  <w:style w:type="paragraph" w:styleId="Revision">
    <w:name w:val="Revision"/>
    <w:hidden/>
    <w:uiPriority w:val="99"/>
    <w:semiHidden/>
    <w:rsid w:val="0044136F"/>
    <w:pPr>
      <w:spacing w:after="0" w:line="240" w:lineRule="auto"/>
    </w:pPr>
    <w:rPr>
      <w:rFonts w:ascii="Roboto" w:hAnsi="Roboto"/>
      <w:sz w:val="22"/>
    </w:rPr>
  </w:style>
  <w:style w:type="character" w:styleId="UnresolvedMention">
    <w:name w:val="Unresolved Mention"/>
    <w:basedOn w:val="DefaultParagraphFont"/>
    <w:uiPriority w:val="99"/>
    <w:semiHidden/>
    <w:unhideWhenUsed/>
    <w:rsid w:val="00565379"/>
    <w:rPr>
      <w:color w:val="605E5C"/>
      <w:shd w:val="clear" w:color="auto" w:fill="E1DFDD"/>
    </w:rPr>
  </w:style>
  <w:style w:type="character" w:styleId="FollowedHyperlink">
    <w:name w:val="FollowedHyperlink"/>
    <w:basedOn w:val="DefaultParagraphFont"/>
    <w:uiPriority w:val="99"/>
    <w:semiHidden/>
    <w:unhideWhenUsed/>
    <w:rsid w:val="00773C11"/>
    <w:rPr>
      <w:color w:val="800080" w:themeColor="followedHyperlink"/>
      <w:u w:val="single"/>
    </w:rPr>
  </w:style>
  <w:style w:type="paragraph" w:styleId="BodyText3">
    <w:name w:val="Body Text 3"/>
    <w:basedOn w:val="Normal"/>
    <w:link w:val="BodyText3Char"/>
    <w:uiPriority w:val="99"/>
    <w:semiHidden/>
    <w:unhideWhenUsed/>
    <w:rsid w:val="00BF3335"/>
    <w:pPr>
      <w:spacing w:after="120"/>
    </w:pPr>
    <w:rPr>
      <w:sz w:val="16"/>
      <w:szCs w:val="16"/>
    </w:rPr>
  </w:style>
  <w:style w:type="character" w:customStyle="1" w:styleId="BodyText3Char">
    <w:name w:val="Body Text 3 Char"/>
    <w:basedOn w:val="DefaultParagraphFont"/>
    <w:link w:val="BodyText3"/>
    <w:uiPriority w:val="99"/>
    <w:semiHidden/>
    <w:rsid w:val="00BF3335"/>
    <w:rPr>
      <w:rFonts w:ascii="Roboto" w:hAnsi="Roboto"/>
      <w:sz w:val="16"/>
      <w:szCs w:val="16"/>
    </w:rPr>
  </w:style>
  <w:style w:type="paragraph" w:styleId="TOC5">
    <w:name w:val="toc 5"/>
    <w:basedOn w:val="Normal"/>
    <w:next w:val="Normal"/>
    <w:autoRedefine/>
    <w:uiPriority w:val="39"/>
    <w:unhideWhenUsed/>
    <w:rsid w:val="002E704D"/>
    <w:pPr>
      <w:spacing w:after="100" w:line="259" w:lineRule="auto"/>
      <w:ind w:left="880"/>
      <w:jc w:val="left"/>
    </w:pPr>
    <w:rPr>
      <w:rFonts w:asciiTheme="minorHAnsi" w:eastAsiaTheme="minorEastAsia" w:hAnsiTheme="minorHAnsi"/>
      <w:szCs w:val="22"/>
    </w:rPr>
  </w:style>
  <w:style w:type="paragraph" w:styleId="TOC6">
    <w:name w:val="toc 6"/>
    <w:basedOn w:val="Normal"/>
    <w:next w:val="Normal"/>
    <w:autoRedefine/>
    <w:uiPriority w:val="39"/>
    <w:unhideWhenUsed/>
    <w:rsid w:val="002E704D"/>
    <w:pPr>
      <w:spacing w:after="100" w:line="259" w:lineRule="auto"/>
      <w:ind w:left="1100"/>
      <w:jc w:val="left"/>
    </w:pPr>
    <w:rPr>
      <w:rFonts w:asciiTheme="minorHAnsi" w:eastAsiaTheme="minorEastAsia" w:hAnsiTheme="minorHAnsi"/>
      <w:szCs w:val="22"/>
    </w:rPr>
  </w:style>
  <w:style w:type="paragraph" w:styleId="TOC7">
    <w:name w:val="toc 7"/>
    <w:basedOn w:val="Normal"/>
    <w:next w:val="Normal"/>
    <w:autoRedefine/>
    <w:uiPriority w:val="39"/>
    <w:unhideWhenUsed/>
    <w:rsid w:val="002E704D"/>
    <w:pPr>
      <w:spacing w:after="100" w:line="259" w:lineRule="auto"/>
      <w:ind w:left="1320"/>
      <w:jc w:val="left"/>
    </w:pPr>
    <w:rPr>
      <w:rFonts w:asciiTheme="minorHAnsi" w:eastAsiaTheme="minorEastAsia" w:hAnsiTheme="minorHAnsi"/>
      <w:szCs w:val="22"/>
    </w:rPr>
  </w:style>
  <w:style w:type="paragraph" w:styleId="TOC8">
    <w:name w:val="toc 8"/>
    <w:basedOn w:val="Normal"/>
    <w:next w:val="Normal"/>
    <w:autoRedefine/>
    <w:uiPriority w:val="39"/>
    <w:unhideWhenUsed/>
    <w:rsid w:val="002E704D"/>
    <w:pPr>
      <w:spacing w:after="100" w:line="259" w:lineRule="auto"/>
      <w:ind w:left="1540"/>
      <w:jc w:val="left"/>
    </w:pPr>
    <w:rPr>
      <w:rFonts w:asciiTheme="minorHAnsi" w:eastAsiaTheme="minorEastAsia" w:hAnsiTheme="minorHAnsi"/>
      <w:szCs w:val="22"/>
    </w:rPr>
  </w:style>
  <w:style w:type="paragraph" w:styleId="TOC9">
    <w:name w:val="toc 9"/>
    <w:basedOn w:val="Normal"/>
    <w:next w:val="Normal"/>
    <w:autoRedefine/>
    <w:uiPriority w:val="39"/>
    <w:unhideWhenUsed/>
    <w:rsid w:val="002E704D"/>
    <w:pPr>
      <w:spacing w:after="100" w:line="259" w:lineRule="auto"/>
      <w:ind w:left="1760"/>
      <w:jc w:val="left"/>
    </w:pPr>
    <w:rPr>
      <w:rFonts w:asciiTheme="minorHAnsi" w:eastAsiaTheme="minorEastAsia" w:hAnsiTheme="minorHAnsi"/>
      <w:szCs w:val="22"/>
    </w:rPr>
  </w:style>
  <w:style w:type="character" w:customStyle="1" w:styleId="cf01">
    <w:name w:val="cf01"/>
    <w:basedOn w:val="DefaultParagraphFont"/>
    <w:rsid w:val="00D0043D"/>
    <w:rPr>
      <w:rFonts w:ascii="Segoe UI" w:hAnsi="Segoe UI" w:cs="Segoe UI" w:hint="default"/>
      <w:sz w:val="18"/>
      <w:szCs w:val="18"/>
      <w:shd w:val="clear" w:color="auto" w:fill="FFFFFF"/>
    </w:rPr>
  </w:style>
  <w:style w:type="character" w:customStyle="1" w:styleId="normaltextrun">
    <w:name w:val="normaltextrun"/>
    <w:basedOn w:val="DefaultParagraphFont"/>
    <w:rsid w:val="00CA45BD"/>
  </w:style>
  <w:style w:type="character" w:customStyle="1" w:styleId="eop">
    <w:name w:val="eop"/>
    <w:basedOn w:val="DefaultParagraphFont"/>
    <w:rsid w:val="00CA45BD"/>
  </w:style>
  <w:style w:type="paragraph" w:customStyle="1" w:styleId="paragraph">
    <w:name w:val="paragraph"/>
    <w:basedOn w:val="Normal"/>
    <w:rsid w:val="006631F5"/>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unhideWhenUsed/>
    <w:rsid w:val="006E190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F3E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3E96"/>
    <w:rPr>
      <w:rFonts w:ascii="Roboto" w:hAnsi="Roboto"/>
      <w:sz w:val="20"/>
      <w:szCs w:val="20"/>
    </w:rPr>
  </w:style>
  <w:style w:type="character" w:styleId="EndnoteReference">
    <w:name w:val="endnote reference"/>
    <w:basedOn w:val="DefaultParagraphFont"/>
    <w:uiPriority w:val="99"/>
    <w:semiHidden/>
    <w:unhideWhenUsed/>
    <w:rsid w:val="000F3E96"/>
    <w:rPr>
      <w:vertAlign w:val="superscript"/>
    </w:rPr>
  </w:style>
  <w:style w:type="paragraph" w:customStyle="1" w:styleId="S4Normal">
    <w:name w:val="S4 Normal"/>
    <w:basedOn w:val="Normal"/>
    <w:link w:val="S4NormalCarCar"/>
    <w:rsid w:val="001726F0"/>
    <w:pPr>
      <w:spacing w:before="200" w:after="0" w:line="240" w:lineRule="exact"/>
      <w:jc w:val="both"/>
    </w:pPr>
    <w:rPr>
      <w:rFonts w:ascii="Verdana" w:eastAsia="Times New Roman" w:hAnsi="Verdana" w:cs="Times New Roman"/>
      <w:sz w:val="20"/>
      <w:szCs w:val="20"/>
      <w:lang w:val="fr-BE"/>
    </w:rPr>
  </w:style>
  <w:style w:type="character" w:customStyle="1" w:styleId="S4NormalCarCar">
    <w:name w:val="S4 Normal Car Car"/>
    <w:link w:val="S4Normal"/>
    <w:rsid w:val="001726F0"/>
    <w:rPr>
      <w:rFonts w:ascii="Verdana" w:eastAsia="Times New Roman" w:hAnsi="Verdana" w:cs="Times New Roman"/>
      <w:sz w:val="20"/>
      <w:szCs w:val="20"/>
      <w:lang w:val="fr-BE"/>
    </w:rPr>
  </w:style>
  <w:style w:type="paragraph" w:customStyle="1" w:styleId="S4Titre3">
    <w:name w:val="S4 Titre 3"/>
    <w:basedOn w:val="Heading3"/>
    <w:next w:val="Normal"/>
    <w:link w:val="S4Titre3Car"/>
    <w:autoRedefine/>
    <w:qFormat/>
    <w:rsid w:val="003628E4"/>
    <w:pPr>
      <w:keepLines w:val="0"/>
      <w:numPr>
        <w:ilvl w:val="0"/>
        <w:numId w:val="0"/>
      </w:numPr>
      <w:spacing w:before="360" w:after="280" w:line="280" w:lineRule="atLeast"/>
      <w:jc w:val="both"/>
    </w:pPr>
    <w:rPr>
      <w:rFonts w:eastAsia="Times New Roman" w:cs="Arial"/>
      <w:b w:val="0"/>
      <w:bCs w:val="0"/>
      <w:color w:val="auto"/>
      <w:sz w:val="20"/>
      <w:szCs w:val="20"/>
      <w:lang w:val="nl-NL"/>
    </w:rPr>
  </w:style>
  <w:style w:type="character" w:customStyle="1" w:styleId="S4Titre3Car">
    <w:name w:val="S4 Titre 3 Car"/>
    <w:link w:val="S4Titre3"/>
    <w:rsid w:val="003628E4"/>
    <w:rPr>
      <w:rFonts w:ascii="Verdana" w:eastAsia="Times New Roman" w:hAnsi="Verdana" w:cs="Arial"/>
      <w:sz w:val="20"/>
      <w:szCs w:val="20"/>
      <w:lang w:val="nl-NL"/>
    </w:rPr>
  </w:style>
  <w:style w:type="character" w:customStyle="1" w:styleId="ListParagraphChar">
    <w:name w:val="List Paragraph Char"/>
    <w:basedOn w:val="DefaultParagraphFont"/>
    <w:link w:val="ListParagraph"/>
    <w:uiPriority w:val="34"/>
    <w:rsid w:val="003628E4"/>
    <w:rPr>
      <w:rFonts w:ascii="Roboto" w:hAnsi="Robo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357859023">
      <w:bodyDiv w:val="1"/>
      <w:marLeft w:val="0"/>
      <w:marRight w:val="0"/>
      <w:marTop w:val="0"/>
      <w:marBottom w:val="0"/>
      <w:divBdr>
        <w:top w:val="none" w:sz="0" w:space="0" w:color="auto"/>
        <w:left w:val="none" w:sz="0" w:space="0" w:color="auto"/>
        <w:bottom w:val="none" w:sz="0" w:space="0" w:color="auto"/>
        <w:right w:val="none" w:sz="0" w:space="0" w:color="auto"/>
      </w:divBdr>
      <w:divsChild>
        <w:div w:id="440688708">
          <w:marLeft w:val="0"/>
          <w:marRight w:val="0"/>
          <w:marTop w:val="0"/>
          <w:marBottom w:val="0"/>
          <w:divBdr>
            <w:top w:val="none" w:sz="0" w:space="0" w:color="auto"/>
            <w:left w:val="none" w:sz="0" w:space="0" w:color="auto"/>
            <w:bottom w:val="none" w:sz="0" w:space="0" w:color="auto"/>
            <w:right w:val="none" w:sz="0" w:space="0" w:color="auto"/>
          </w:divBdr>
        </w:div>
        <w:div w:id="761611261">
          <w:marLeft w:val="0"/>
          <w:marRight w:val="0"/>
          <w:marTop w:val="0"/>
          <w:marBottom w:val="0"/>
          <w:divBdr>
            <w:top w:val="none" w:sz="0" w:space="0" w:color="auto"/>
            <w:left w:val="none" w:sz="0" w:space="0" w:color="auto"/>
            <w:bottom w:val="none" w:sz="0" w:space="0" w:color="auto"/>
            <w:right w:val="none" w:sz="0" w:space="0" w:color="auto"/>
          </w:divBdr>
        </w:div>
        <w:div w:id="908736544">
          <w:marLeft w:val="0"/>
          <w:marRight w:val="0"/>
          <w:marTop w:val="0"/>
          <w:marBottom w:val="0"/>
          <w:divBdr>
            <w:top w:val="none" w:sz="0" w:space="0" w:color="auto"/>
            <w:left w:val="none" w:sz="0" w:space="0" w:color="auto"/>
            <w:bottom w:val="none" w:sz="0" w:space="0" w:color="auto"/>
            <w:right w:val="none" w:sz="0" w:space="0" w:color="auto"/>
          </w:divBdr>
        </w:div>
        <w:div w:id="1054088163">
          <w:marLeft w:val="0"/>
          <w:marRight w:val="0"/>
          <w:marTop w:val="0"/>
          <w:marBottom w:val="0"/>
          <w:divBdr>
            <w:top w:val="none" w:sz="0" w:space="0" w:color="auto"/>
            <w:left w:val="none" w:sz="0" w:space="0" w:color="auto"/>
            <w:bottom w:val="none" w:sz="0" w:space="0" w:color="auto"/>
            <w:right w:val="none" w:sz="0" w:space="0" w:color="auto"/>
          </w:divBdr>
        </w:div>
        <w:div w:id="1414737209">
          <w:marLeft w:val="0"/>
          <w:marRight w:val="0"/>
          <w:marTop w:val="0"/>
          <w:marBottom w:val="0"/>
          <w:divBdr>
            <w:top w:val="none" w:sz="0" w:space="0" w:color="auto"/>
            <w:left w:val="none" w:sz="0" w:space="0" w:color="auto"/>
            <w:bottom w:val="none" w:sz="0" w:space="0" w:color="auto"/>
            <w:right w:val="none" w:sz="0" w:space="0" w:color="auto"/>
          </w:divBdr>
        </w:div>
        <w:div w:id="1768303668">
          <w:marLeft w:val="0"/>
          <w:marRight w:val="0"/>
          <w:marTop w:val="0"/>
          <w:marBottom w:val="0"/>
          <w:divBdr>
            <w:top w:val="none" w:sz="0" w:space="0" w:color="auto"/>
            <w:left w:val="none" w:sz="0" w:space="0" w:color="auto"/>
            <w:bottom w:val="none" w:sz="0" w:space="0" w:color="auto"/>
            <w:right w:val="none" w:sz="0" w:space="0" w:color="auto"/>
          </w:divBdr>
        </w:div>
        <w:div w:id="1782726648">
          <w:marLeft w:val="0"/>
          <w:marRight w:val="0"/>
          <w:marTop w:val="0"/>
          <w:marBottom w:val="0"/>
          <w:divBdr>
            <w:top w:val="none" w:sz="0" w:space="0" w:color="auto"/>
            <w:left w:val="none" w:sz="0" w:space="0" w:color="auto"/>
            <w:bottom w:val="none" w:sz="0" w:space="0" w:color="auto"/>
            <w:right w:val="none" w:sz="0" w:space="0" w:color="auto"/>
          </w:divBdr>
        </w:div>
        <w:div w:id="1921407866">
          <w:marLeft w:val="0"/>
          <w:marRight w:val="0"/>
          <w:marTop w:val="0"/>
          <w:marBottom w:val="0"/>
          <w:divBdr>
            <w:top w:val="none" w:sz="0" w:space="0" w:color="auto"/>
            <w:left w:val="none" w:sz="0" w:space="0" w:color="auto"/>
            <w:bottom w:val="none" w:sz="0" w:space="0" w:color="auto"/>
            <w:right w:val="none" w:sz="0" w:space="0" w:color="auto"/>
          </w:divBdr>
        </w:div>
        <w:div w:id="1936208265">
          <w:marLeft w:val="0"/>
          <w:marRight w:val="0"/>
          <w:marTop w:val="0"/>
          <w:marBottom w:val="0"/>
          <w:divBdr>
            <w:top w:val="none" w:sz="0" w:space="0" w:color="auto"/>
            <w:left w:val="none" w:sz="0" w:space="0" w:color="auto"/>
            <w:bottom w:val="none" w:sz="0" w:space="0" w:color="auto"/>
            <w:right w:val="none" w:sz="0" w:space="0" w:color="auto"/>
          </w:divBdr>
        </w:div>
        <w:div w:id="2018455619">
          <w:marLeft w:val="0"/>
          <w:marRight w:val="0"/>
          <w:marTop w:val="0"/>
          <w:marBottom w:val="0"/>
          <w:divBdr>
            <w:top w:val="none" w:sz="0" w:space="0" w:color="auto"/>
            <w:left w:val="none" w:sz="0" w:space="0" w:color="auto"/>
            <w:bottom w:val="none" w:sz="0" w:space="0" w:color="auto"/>
            <w:right w:val="none" w:sz="0" w:space="0" w:color="auto"/>
          </w:divBdr>
        </w:div>
      </w:divsChild>
    </w:div>
    <w:div w:id="456489236">
      <w:bodyDiv w:val="1"/>
      <w:marLeft w:val="0"/>
      <w:marRight w:val="0"/>
      <w:marTop w:val="0"/>
      <w:marBottom w:val="0"/>
      <w:divBdr>
        <w:top w:val="none" w:sz="0" w:space="0" w:color="auto"/>
        <w:left w:val="none" w:sz="0" w:space="0" w:color="auto"/>
        <w:bottom w:val="none" w:sz="0" w:space="0" w:color="auto"/>
        <w:right w:val="none" w:sz="0" w:space="0" w:color="auto"/>
      </w:divBdr>
    </w:div>
    <w:div w:id="456872001">
      <w:bodyDiv w:val="1"/>
      <w:marLeft w:val="0"/>
      <w:marRight w:val="0"/>
      <w:marTop w:val="0"/>
      <w:marBottom w:val="0"/>
      <w:divBdr>
        <w:top w:val="none" w:sz="0" w:space="0" w:color="auto"/>
        <w:left w:val="none" w:sz="0" w:space="0" w:color="auto"/>
        <w:bottom w:val="none" w:sz="0" w:space="0" w:color="auto"/>
        <w:right w:val="none" w:sz="0" w:space="0" w:color="auto"/>
      </w:divBdr>
      <w:divsChild>
        <w:div w:id="242840199">
          <w:marLeft w:val="0"/>
          <w:marRight w:val="0"/>
          <w:marTop w:val="0"/>
          <w:marBottom w:val="0"/>
          <w:divBdr>
            <w:top w:val="none" w:sz="0" w:space="0" w:color="auto"/>
            <w:left w:val="none" w:sz="0" w:space="0" w:color="auto"/>
            <w:bottom w:val="none" w:sz="0" w:space="0" w:color="auto"/>
            <w:right w:val="none" w:sz="0" w:space="0" w:color="auto"/>
          </w:divBdr>
        </w:div>
        <w:div w:id="373585030">
          <w:marLeft w:val="0"/>
          <w:marRight w:val="0"/>
          <w:marTop w:val="0"/>
          <w:marBottom w:val="0"/>
          <w:divBdr>
            <w:top w:val="none" w:sz="0" w:space="0" w:color="auto"/>
            <w:left w:val="none" w:sz="0" w:space="0" w:color="auto"/>
            <w:bottom w:val="none" w:sz="0" w:space="0" w:color="auto"/>
            <w:right w:val="none" w:sz="0" w:space="0" w:color="auto"/>
          </w:divBdr>
        </w:div>
        <w:div w:id="1264076158">
          <w:marLeft w:val="0"/>
          <w:marRight w:val="0"/>
          <w:marTop w:val="0"/>
          <w:marBottom w:val="0"/>
          <w:divBdr>
            <w:top w:val="none" w:sz="0" w:space="0" w:color="auto"/>
            <w:left w:val="none" w:sz="0" w:space="0" w:color="auto"/>
            <w:bottom w:val="none" w:sz="0" w:space="0" w:color="auto"/>
            <w:right w:val="none" w:sz="0" w:space="0" w:color="auto"/>
          </w:divBdr>
        </w:div>
        <w:div w:id="1292134138">
          <w:marLeft w:val="0"/>
          <w:marRight w:val="0"/>
          <w:marTop w:val="0"/>
          <w:marBottom w:val="0"/>
          <w:divBdr>
            <w:top w:val="none" w:sz="0" w:space="0" w:color="auto"/>
            <w:left w:val="none" w:sz="0" w:space="0" w:color="auto"/>
            <w:bottom w:val="none" w:sz="0" w:space="0" w:color="auto"/>
            <w:right w:val="none" w:sz="0" w:space="0" w:color="auto"/>
          </w:divBdr>
        </w:div>
        <w:div w:id="1427269727">
          <w:marLeft w:val="0"/>
          <w:marRight w:val="0"/>
          <w:marTop w:val="0"/>
          <w:marBottom w:val="0"/>
          <w:divBdr>
            <w:top w:val="none" w:sz="0" w:space="0" w:color="auto"/>
            <w:left w:val="none" w:sz="0" w:space="0" w:color="auto"/>
            <w:bottom w:val="none" w:sz="0" w:space="0" w:color="auto"/>
            <w:right w:val="none" w:sz="0" w:space="0" w:color="auto"/>
          </w:divBdr>
        </w:div>
        <w:div w:id="1453356047">
          <w:marLeft w:val="0"/>
          <w:marRight w:val="0"/>
          <w:marTop w:val="0"/>
          <w:marBottom w:val="0"/>
          <w:divBdr>
            <w:top w:val="none" w:sz="0" w:space="0" w:color="auto"/>
            <w:left w:val="none" w:sz="0" w:space="0" w:color="auto"/>
            <w:bottom w:val="none" w:sz="0" w:space="0" w:color="auto"/>
            <w:right w:val="none" w:sz="0" w:space="0" w:color="auto"/>
          </w:divBdr>
        </w:div>
        <w:div w:id="2017031831">
          <w:marLeft w:val="0"/>
          <w:marRight w:val="0"/>
          <w:marTop w:val="0"/>
          <w:marBottom w:val="0"/>
          <w:divBdr>
            <w:top w:val="none" w:sz="0" w:space="0" w:color="auto"/>
            <w:left w:val="none" w:sz="0" w:space="0" w:color="auto"/>
            <w:bottom w:val="none" w:sz="0" w:space="0" w:color="auto"/>
            <w:right w:val="none" w:sz="0" w:space="0" w:color="auto"/>
          </w:divBdr>
        </w:div>
      </w:divsChild>
    </w:div>
    <w:div w:id="506140447">
      <w:bodyDiv w:val="1"/>
      <w:marLeft w:val="0"/>
      <w:marRight w:val="0"/>
      <w:marTop w:val="0"/>
      <w:marBottom w:val="0"/>
      <w:divBdr>
        <w:top w:val="none" w:sz="0" w:space="0" w:color="auto"/>
        <w:left w:val="none" w:sz="0" w:space="0" w:color="auto"/>
        <w:bottom w:val="none" w:sz="0" w:space="0" w:color="auto"/>
        <w:right w:val="none" w:sz="0" w:space="0" w:color="auto"/>
      </w:divBdr>
      <w:divsChild>
        <w:div w:id="64687376">
          <w:marLeft w:val="0"/>
          <w:marRight w:val="0"/>
          <w:marTop w:val="0"/>
          <w:marBottom w:val="0"/>
          <w:divBdr>
            <w:top w:val="none" w:sz="0" w:space="0" w:color="auto"/>
            <w:left w:val="none" w:sz="0" w:space="0" w:color="auto"/>
            <w:bottom w:val="none" w:sz="0" w:space="0" w:color="auto"/>
            <w:right w:val="none" w:sz="0" w:space="0" w:color="auto"/>
          </w:divBdr>
        </w:div>
        <w:div w:id="408579537">
          <w:marLeft w:val="0"/>
          <w:marRight w:val="0"/>
          <w:marTop w:val="0"/>
          <w:marBottom w:val="0"/>
          <w:divBdr>
            <w:top w:val="none" w:sz="0" w:space="0" w:color="auto"/>
            <w:left w:val="none" w:sz="0" w:space="0" w:color="auto"/>
            <w:bottom w:val="none" w:sz="0" w:space="0" w:color="auto"/>
            <w:right w:val="none" w:sz="0" w:space="0" w:color="auto"/>
          </w:divBdr>
        </w:div>
        <w:div w:id="1866366362">
          <w:marLeft w:val="0"/>
          <w:marRight w:val="0"/>
          <w:marTop w:val="0"/>
          <w:marBottom w:val="0"/>
          <w:divBdr>
            <w:top w:val="none" w:sz="0" w:space="0" w:color="auto"/>
            <w:left w:val="none" w:sz="0" w:space="0" w:color="auto"/>
            <w:bottom w:val="none" w:sz="0" w:space="0" w:color="auto"/>
            <w:right w:val="none" w:sz="0" w:space="0" w:color="auto"/>
          </w:divBdr>
        </w:div>
      </w:divsChild>
    </w:div>
    <w:div w:id="629436543">
      <w:bodyDiv w:val="1"/>
      <w:marLeft w:val="0"/>
      <w:marRight w:val="0"/>
      <w:marTop w:val="0"/>
      <w:marBottom w:val="0"/>
      <w:divBdr>
        <w:top w:val="none" w:sz="0" w:space="0" w:color="auto"/>
        <w:left w:val="none" w:sz="0" w:space="0" w:color="auto"/>
        <w:bottom w:val="none" w:sz="0" w:space="0" w:color="auto"/>
        <w:right w:val="none" w:sz="0" w:space="0" w:color="auto"/>
      </w:divBdr>
    </w:div>
    <w:div w:id="681318927">
      <w:bodyDiv w:val="1"/>
      <w:marLeft w:val="0"/>
      <w:marRight w:val="0"/>
      <w:marTop w:val="0"/>
      <w:marBottom w:val="0"/>
      <w:divBdr>
        <w:top w:val="none" w:sz="0" w:space="0" w:color="auto"/>
        <w:left w:val="none" w:sz="0" w:space="0" w:color="auto"/>
        <w:bottom w:val="none" w:sz="0" w:space="0" w:color="auto"/>
        <w:right w:val="none" w:sz="0" w:space="0" w:color="auto"/>
      </w:divBdr>
    </w:div>
    <w:div w:id="1113477144">
      <w:bodyDiv w:val="1"/>
      <w:marLeft w:val="0"/>
      <w:marRight w:val="0"/>
      <w:marTop w:val="0"/>
      <w:marBottom w:val="0"/>
      <w:divBdr>
        <w:top w:val="none" w:sz="0" w:space="0" w:color="auto"/>
        <w:left w:val="none" w:sz="0" w:space="0" w:color="auto"/>
        <w:bottom w:val="none" w:sz="0" w:space="0" w:color="auto"/>
        <w:right w:val="none" w:sz="0" w:space="0" w:color="auto"/>
      </w:divBdr>
    </w:div>
    <w:div w:id="1298075067">
      <w:bodyDiv w:val="1"/>
      <w:marLeft w:val="0"/>
      <w:marRight w:val="0"/>
      <w:marTop w:val="0"/>
      <w:marBottom w:val="0"/>
      <w:divBdr>
        <w:top w:val="none" w:sz="0" w:space="0" w:color="auto"/>
        <w:left w:val="none" w:sz="0" w:space="0" w:color="auto"/>
        <w:bottom w:val="none" w:sz="0" w:space="0" w:color="auto"/>
        <w:right w:val="none" w:sz="0" w:space="0" w:color="auto"/>
      </w:divBdr>
    </w:div>
    <w:div w:id="1703701467">
      <w:bodyDiv w:val="1"/>
      <w:marLeft w:val="0"/>
      <w:marRight w:val="0"/>
      <w:marTop w:val="0"/>
      <w:marBottom w:val="0"/>
      <w:divBdr>
        <w:top w:val="none" w:sz="0" w:space="0" w:color="auto"/>
        <w:left w:val="none" w:sz="0" w:space="0" w:color="auto"/>
        <w:bottom w:val="none" w:sz="0" w:space="0" w:color="auto"/>
        <w:right w:val="none" w:sz="0" w:space="0" w:color="auto"/>
      </w:divBdr>
    </w:div>
    <w:div w:id="1721123768">
      <w:bodyDiv w:val="1"/>
      <w:marLeft w:val="0"/>
      <w:marRight w:val="0"/>
      <w:marTop w:val="0"/>
      <w:marBottom w:val="0"/>
      <w:divBdr>
        <w:top w:val="none" w:sz="0" w:space="0" w:color="auto"/>
        <w:left w:val="none" w:sz="0" w:space="0" w:color="auto"/>
        <w:bottom w:val="none" w:sz="0" w:space="0" w:color="auto"/>
        <w:right w:val="none" w:sz="0" w:space="0" w:color="auto"/>
      </w:divBdr>
      <w:divsChild>
        <w:div w:id="87123278">
          <w:marLeft w:val="0"/>
          <w:marRight w:val="0"/>
          <w:marTop w:val="0"/>
          <w:marBottom w:val="0"/>
          <w:divBdr>
            <w:top w:val="none" w:sz="0" w:space="0" w:color="auto"/>
            <w:left w:val="none" w:sz="0" w:space="0" w:color="auto"/>
            <w:bottom w:val="none" w:sz="0" w:space="0" w:color="auto"/>
            <w:right w:val="none" w:sz="0" w:space="0" w:color="auto"/>
          </w:divBdr>
        </w:div>
        <w:div w:id="315259369">
          <w:marLeft w:val="0"/>
          <w:marRight w:val="0"/>
          <w:marTop w:val="0"/>
          <w:marBottom w:val="0"/>
          <w:divBdr>
            <w:top w:val="none" w:sz="0" w:space="0" w:color="auto"/>
            <w:left w:val="none" w:sz="0" w:space="0" w:color="auto"/>
            <w:bottom w:val="none" w:sz="0" w:space="0" w:color="auto"/>
            <w:right w:val="none" w:sz="0" w:space="0" w:color="auto"/>
          </w:divBdr>
        </w:div>
        <w:div w:id="317851660">
          <w:marLeft w:val="0"/>
          <w:marRight w:val="0"/>
          <w:marTop w:val="0"/>
          <w:marBottom w:val="0"/>
          <w:divBdr>
            <w:top w:val="none" w:sz="0" w:space="0" w:color="auto"/>
            <w:left w:val="none" w:sz="0" w:space="0" w:color="auto"/>
            <w:bottom w:val="none" w:sz="0" w:space="0" w:color="auto"/>
            <w:right w:val="none" w:sz="0" w:space="0" w:color="auto"/>
          </w:divBdr>
        </w:div>
        <w:div w:id="331033107">
          <w:marLeft w:val="0"/>
          <w:marRight w:val="0"/>
          <w:marTop w:val="0"/>
          <w:marBottom w:val="0"/>
          <w:divBdr>
            <w:top w:val="none" w:sz="0" w:space="0" w:color="auto"/>
            <w:left w:val="none" w:sz="0" w:space="0" w:color="auto"/>
            <w:bottom w:val="none" w:sz="0" w:space="0" w:color="auto"/>
            <w:right w:val="none" w:sz="0" w:space="0" w:color="auto"/>
          </w:divBdr>
        </w:div>
        <w:div w:id="844780916">
          <w:marLeft w:val="0"/>
          <w:marRight w:val="0"/>
          <w:marTop w:val="0"/>
          <w:marBottom w:val="0"/>
          <w:divBdr>
            <w:top w:val="none" w:sz="0" w:space="0" w:color="auto"/>
            <w:left w:val="none" w:sz="0" w:space="0" w:color="auto"/>
            <w:bottom w:val="none" w:sz="0" w:space="0" w:color="auto"/>
            <w:right w:val="none" w:sz="0" w:space="0" w:color="auto"/>
          </w:divBdr>
        </w:div>
        <w:div w:id="1177885979">
          <w:marLeft w:val="0"/>
          <w:marRight w:val="0"/>
          <w:marTop w:val="0"/>
          <w:marBottom w:val="0"/>
          <w:divBdr>
            <w:top w:val="none" w:sz="0" w:space="0" w:color="auto"/>
            <w:left w:val="none" w:sz="0" w:space="0" w:color="auto"/>
            <w:bottom w:val="none" w:sz="0" w:space="0" w:color="auto"/>
            <w:right w:val="none" w:sz="0" w:space="0" w:color="auto"/>
          </w:divBdr>
        </w:div>
        <w:div w:id="1852914516">
          <w:marLeft w:val="0"/>
          <w:marRight w:val="0"/>
          <w:marTop w:val="0"/>
          <w:marBottom w:val="0"/>
          <w:divBdr>
            <w:top w:val="none" w:sz="0" w:space="0" w:color="auto"/>
            <w:left w:val="none" w:sz="0" w:space="0" w:color="auto"/>
            <w:bottom w:val="none" w:sz="0" w:space="0" w:color="auto"/>
            <w:right w:val="none" w:sz="0" w:space="0" w:color="auto"/>
          </w:divBdr>
        </w:div>
        <w:div w:id="1865635065">
          <w:marLeft w:val="0"/>
          <w:marRight w:val="0"/>
          <w:marTop w:val="0"/>
          <w:marBottom w:val="0"/>
          <w:divBdr>
            <w:top w:val="none" w:sz="0" w:space="0" w:color="auto"/>
            <w:left w:val="none" w:sz="0" w:space="0" w:color="auto"/>
            <w:bottom w:val="none" w:sz="0" w:space="0" w:color="auto"/>
            <w:right w:val="none" w:sz="0" w:space="0" w:color="auto"/>
          </w:divBdr>
        </w:div>
        <w:div w:id="2083676693">
          <w:marLeft w:val="0"/>
          <w:marRight w:val="0"/>
          <w:marTop w:val="0"/>
          <w:marBottom w:val="0"/>
          <w:divBdr>
            <w:top w:val="none" w:sz="0" w:space="0" w:color="auto"/>
            <w:left w:val="none" w:sz="0" w:space="0" w:color="auto"/>
            <w:bottom w:val="none" w:sz="0" w:space="0" w:color="auto"/>
            <w:right w:val="none" w:sz="0" w:space="0" w:color="auto"/>
          </w:divBdr>
        </w:div>
      </w:divsChild>
    </w:div>
    <w:div w:id="1834300130">
      <w:bodyDiv w:val="1"/>
      <w:marLeft w:val="0"/>
      <w:marRight w:val="0"/>
      <w:marTop w:val="0"/>
      <w:marBottom w:val="0"/>
      <w:divBdr>
        <w:top w:val="none" w:sz="0" w:space="0" w:color="auto"/>
        <w:left w:val="none" w:sz="0" w:space="0" w:color="auto"/>
        <w:bottom w:val="none" w:sz="0" w:space="0" w:color="auto"/>
        <w:right w:val="none" w:sz="0" w:space="0" w:color="auto"/>
      </w:divBdr>
    </w:div>
    <w:div w:id="20597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eten.publicprocurement.be"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mailto:ivo.hooghe@diplobel.fed.b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not.publicprocurement.be"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mailto:ivo.hooghe@diplobel.fed.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vo.hooghe@diplobel.fed.be" TargetMode="External"/><Relationship Id="rId32" Type="http://schemas.openxmlformats.org/officeDocument/2006/relationships/hyperlink" Target="https://dume.publicprocurement.b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mailto:corinne.machet@diplobel.fed.b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efacture.belgium.b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bosa.belgium.be/fr/themes/marches-publics/introduire-une-offre-en-tant-quentreprise/soumettre-une-offre-comme" TargetMode="External"/><Relationship Id="rId30" Type="http://schemas.openxmlformats.org/officeDocument/2006/relationships/hyperlink" Target="http://peppol.eu/"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fr/cad/examens-de-l-ocde-sur-la-cooperation-pour-le-developpement-belgique-2020-83a41ee9-fr.htm" TargetMode="External"/><Relationship Id="rId1" Type="http://schemas.openxmlformats.org/officeDocument/2006/relationships/hyperlink" Target="https://www.oecd.org/fr/cad/states-of-fragility-fa5a6770-e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B98D2455C5E944A9A3B8A563CC4953" ma:contentTypeVersion="19" ma:contentTypeDescription="Create a new document." ma:contentTypeScope="" ma:versionID="6dd1c7c63fdf2fe04fc98a4d31eab1d5">
  <xsd:schema xmlns:xsd="http://www.w3.org/2001/XMLSchema" xmlns:xs="http://www.w3.org/2001/XMLSchema" xmlns:p="http://schemas.microsoft.com/office/2006/metadata/properties" xmlns:ns2="2f14d517-06d3-497e-831c-86d8e4bf32d0" xmlns:ns3="9854dd92-711c-4fea-9985-262832abd51e" targetNamespace="http://schemas.microsoft.com/office/2006/metadata/properties" ma:root="true" ma:fieldsID="809c435a42adca93300c90d63222f2a3" ns2:_="" ns3:_="">
    <xsd:import namespace="2f14d517-06d3-497e-831c-86d8e4bf32d0"/>
    <xsd:import namespace="9854dd92-711c-4fea-9985-262832abd51e"/>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lcf76f155ced4ddcb4097134ff3c332f"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4d517-06d3-497e-831c-86d8e4bf32d0" elementFormDefault="qualified">
    <xsd:import namespace="http://schemas.microsoft.com/office/2006/documentManagement/types"/>
    <xsd:import namespace="http://schemas.microsoft.com/office/infopath/2007/PartnerControls"/>
    <xsd:element name="p5e7a70900b24fdf9bcfb9b5fc846c60" ma:index="4"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5" nillable="true" ma:displayName="Taxonomy Catch All Column" ma:hidden="true" ma:list="{aa3717f1-660c-4c57-bb59-fdcb15d844d3}" ma:internalName="TaxCatchAll" ma:showField="CatchAllData" ma:web="2f14d517-06d3-497e-831c-86d8e4bf32d0">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aa3717f1-660c-4c57-bb59-fdcb15d844d3}" ma:internalName="TaxCatchAllLabel" ma:readOnly="true" ma:showField="CatchAllDataLabel" ma:web="2f14d517-06d3-497e-831c-86d8e4bf32d0">
      <xsd:complexType>
        <xsd:complexContent>
          <xsd:extension base="dms:MultiChoiceLookup">
            <xsd:sequence>
              <xsd:element name="Value" type="dms:Lookup" maxOccurs="unbounded" minOccurs="0" nillable="true"/>
            </xsd:sequence>
          </xsd:extension>
        </xsd:complexContent>
      </xsd:complexType>
    </xsd:element>
    <xsd:element name="ToBeArchived" ma:index="8" nillable="true" ma:displayName="To be archived" ma:internalName="ToBeArchived">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4dd92-711c-4fea-9985-262832abd51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ToBeArchived xmlns="2f14d517-06d3-497e-831c-86d8e4bf32d0">false</ToBeArchived>
    <p5e7a70900b24fdf9bcfb9b5fc846c60 xmlns="2f14d517-06d3-497e-831c-86d8e4bf32d0">
      <Terms xmlns="http://schemas.microsoft.com/office/infopath/2007/PartnerControls"/>
    </p5e7a70900b24fdf9bcfb9b5fc846c60>
    <TaxCatchAll xmlns="2f14d517-06d3-497e-831c-86d8e4bf32d0" xsi:nil="true"/>
    <SharedWithUsers xmlns="2f14d517-06d3-497e-831c-86d8e4bf32d0">
      <UserInfo>
        <DisplayName>Corens Geert - COM0</DisplayName>
        <AccountId>97</AccountId>
        <AccountType/>
      </UserInfo>
      <UserInfo>
        <DisplayName>Van Hoof Élodie</DisplayName>
        <AccountId>98</AccountId>
        <AccountType/>
      </UserInfo>
    </SharedWithUsers>
    <lcf76f155ced4ddcb4097134ff3c332f xmlns="9854dd92-711c-4fea-9985-262832abd5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9EAA52-D7B0-4BC9-BD4B-11B1969E3E51}">
  <ds:schemaRefs>
    <ds:schemaRef ds:uri="http://schemas.openxmlformats.org/officeDocument/2006/bibliography"/>
  </ds:schemaRefs>
</ds:datastoreItem>
</file>

<file path=customXml/itemProps2.xml><?xml version="1.0" encoding="utf-8"?>
<ds:datastoreItem xmlns:ds="http://schemas.openxmlformats.org/officeDocument/2006/customXml" ds:itemID="{46874E69-8B3F-4919-9937-006F4251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4d517-06d3-497e-831c-86d8e4bf32d0"/>
    <ds:schemaRef ds:uri="9854dd92-711c-4fea-9985-262832abd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2E521-5121-4452-9EA3-9A9BB453AD21}">
  <ds:schemaRefs>
    <ds:schemaRef ds:uri="http://schemas.microsoft.com/sharepoint/v3/contenttype/forms"/>
  </ds:schemaRefs>
</ds:datastoreItem>
</file>

<file path=customXml/itemProps4.xml><?xml version="1.0" encoding="utf-8"?>
<ds:datastoreItem xmlns:ds="http://schemas.openxmlformats.org/officeDocument/2006/customXml" ds:itemID="{B14E4679-FDD9-40A6-8FDE-683CAEC80785}">
  <ds:schemaRefs>
    <ds:schemaRef ds:uri="http://purl.org/dc/dcmitype/"/>
    <ds:schemaRef ds:uri="http://schemas.microsoft.com/office/infopath/2007/PartnerControls"/>
    <ds:schemaRef ds:uri="http://purl.org/dc/elements/1.1/"/>
    <ds:schemaRef ds:uri="http://schemas.microsoft.com/office/2006/metadata/properties"/>
    <ds:schemaRef ds:uri="2f14d517-06d3-497e-831c-86d8e4bf32d0"/>
    <ds:schemaRef ds:uri="http://schemas.microsoft.com/office/2006/documentManagement/types"/>
    <ds:schemaRef ds:uri="http://schemas.openxmlformats.org/package/2006/metadata/core-properties"/>
    <ds:schemaRef ds:uri="9854dd92-711c-4fea-9985-262832abd51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16471</Words>
  <Characters>93887</Characters>
  <Application>Microsoft Office Word</Application>
  <DocSecurity>0</DocSecurity>
  <Lines>782</Lines>
  <Paragraphs>220</Paragraphs>
  <ScaleCrop>false</ScaleCrop>
  <Company>FOD Buitenlandse Zaken / SPF Affaires Etrangeres</Company>
  <LinksUpToDate>false</LinksUpToDate>
  <CharactersWithSpaces>110138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Paulus Françoise - P&amp;C6</dc:creator>
  <cp:keywords/>
  <cp:lastModifiedBy>Hooghe Ivo - S2</cp:lastModifiedBy>
  <cp:revision>2</cp:revision>
  <dcterms:created xsi:type="dcterms:W3CDTF">2023-04-18T09:23:00Z</dcterms:created>
  <dcterms:modified xsi:type="dcterms:W3CDTF">2023-04-18T09:23:00Z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e238c67c-b162-47ae-8497-f207e4b1aacf</vt:lpwstr>
  </property>
  <property fmtid="{D5CDD505-2E9C-101B-9397-08002B2CF9AE}" pid="3" name="ContentTypeId">
    <vt:lpwstr>0x0101006CB98D2455C5E944A9A3B8A563CC4953</vt:lpwstr>
  </property>
  <property fmtid="{D5CDD505-2E9C-101B-9397-08002B2CF9AE}" pid="4" name="BE_ForeignAffairsClassification">
    <vt:lpwstr>Usage interne - N5 - Intern gebruik</vt:lpwstr>
  </property>
  <property fmtid="{D5CDD505-2E9C-101B-9397-08002B2CF9AE}" pid="5" name="BE_ForeignAffairsMarkering">
    <vt:lpwstr>Markering actief - Marquage actif</vt:lpwstr>
  </property>
  <property fmtid="{D5CDD505-2E9C-101B-9397-08002B2CF9AE}" pid="6" name="MediaServiceImageTags">
    <vt:lpwstr/>
  </property>
  <property fmtid="{D5CDD505-2E9C-101B-9397-08002B2CF9AE}" pid="7" name="ArchiveCode">
    <vt:lpwstr/>
  </property>
  <property fmtid="{D5CDD505-2E9C-101B-9397-08002B2CF9AE}" pid="8" name="Order">
    <vt:r8>66700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y fmtid="{D5CDD505-2E9C-101B-9397-08002B2CF9AE}" pid="17" name="MSIP_Label_3fcc0919-ace7-4ac5-935e-33d18af53a2b_Enabled">
    <vt:lpwstr>true</vt:lpwstr>
  </property>
  <property fmtid="{D5CDD505-2E9C-101B-9397-08002B2CF9AE}" pid="18" name="MSIP_Label_3fcc0919-ace7-4ac5-935e-33d18af53a2b_SetDate">
    <vt:lpwstr>2023-04-18T09:23:41Z</vt:lpwstr>
  </property>
  <property fmtid="{D5CDD505-2E9C-101B-9397-08002B2CF9AE}" pid="19" name="MSIP_Label_3fcc0919-ace7-4ac5-935e-33d18af53a2b_Method">
    <vt:lpwstr>Privileged</vt:lpwstr>
  </property>
  <property fmtid="{D5CDD505-2E9C-101B-9397-08002B2CF9AE}" pid="20" name="MSIP_Label_3fcc0919-ace7-4ac5-935e-33d18af53a2b_Name">
    <vt:lpwstr>Usage interne - Intern gebruik</vt:lpwstr>
  </property>
  <property fmtid="{D5CDD505-2E9C-101B-9397-08002B2CF9AE}" pid="21" name="MSIP_Label_3fcc0919-ace7-4ac5-935e-33d18af53a2b_SiteId">
    <vt:lpwstr>80153b30-e434-429b-b41c-0d47f9deec42</vt:lpwstr>
  </property>
  <property fmtid="{D5CDD505-2E9C-101B-9397-08002B2CF9AE}" pid="22" name="MSIP_Label_3fcc0919-ace7-4ac5-935e-33d18af53a2b_ActionId">
    <vt:lpwstr>1e182623-74f9-4c46-a3b1-837d5176e25b</vt:lpwstr>
  </property>
  <property fmtid="{D5CDD505-2E9C-101B-9397-08002B2CF9AE}" pid="23" name="MSIP_Label_3fcc0919-ace7-4ac5-935e-33d18af53a2b_ContentBits">
    <vt:lpwstr>1</vt:lpwstr>
  </property>
</Properties>
</file>