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CC55" w14:textId="65035DFD" w:rsidR="004774C8" w:rsidRDefault="004774C8" w:rsidP="00B942FD">
      <w:pPr>
        <w:rPr>
          <w:rFonts w:ascii="Verdana" w:hAnsi="Verdana"/>
        </w:rPr>
      </w:pPr>
    </w:p>
    <w:bookmarkStart w:id="0" w:name="_Toc457292463"/>
    <w:p w14:paraId="0ADE0732" w14:textId="28097023" w:rsidR="00C010A9" w:rsidRPr="00C010A9" w:rsidRDefault="00E66D7D" w:rsidP="79A775EF">
      <w:pPr>
        <w:jc w:val="both"/>
        <w:rPr>
          <w:rFonts w:eastAsia="Times New Roman" w:cs="Arial"/>
          <w:color w:val="262626"/>
          <w:lang w:val="nl-BE"/>
        </w:rPr>
      </w:pPr>
      <w:r w:rsidRPr="00D511C4">
        <w:rPr>
          <w:rFonts w:eastAsia="Times New Roman" w:cs="Arial"/>
          <w:noProof/>
          <w:color w:val="262626"/>
          <w:szCs w:val="22"/>
          <w:lang w:val="nl-BE"/>
        </w:rPr>
        <mc:AlternateContent>
          <mc:Choice Requires="wps">
            <w:drawing>
              <wp:anchor distT="45720" distB="45720" distL="114300" distR="114300" simplePos="0" relativeHeight="251667456" behindDoc="0" locked="1" layoutInCell="1" allowOverlap="1" wp14:anchorId="1EE998C8" wp14:editId="40605D87">
                <wp:simplePos x="0" y="0"/>
                <wp:positionH relativeFrom="page">
                  <wp:align>left</wp:align>
                </wp:positionH>
                <wp:positionV relativeFrom="paragraph">
                  <wp:posOffset>5100320</wp:posOffset>
                </wp:positionV>
                <wp:extent cx="7581265" cy="1125220"/>
                <wp:effectExtent l="0" t="0" r="63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1125220"/>
                        </a:xfrm>
                        <a:prstGeom prst="rect">
                          <a:avLst/>
                        </a:prstGeom>
                        <a:solidFill>
                          <a:sysClr val="window" lastClr="FFFFFF"/>
                        </a:solidFill>
                        <a:ln w="9525">
                          <a:noFill/>
                          <a:miter lim="800000"/>
                          <a:headEnd/>
                          <a:tailEnd/>
                        </a:ln>
                      </wps:spPr>
                      <wps:txbx>
                        <w:txbxContent>
                          <w:p w14:paraId="2451BCE6" w14:textId="3D81835A" w:rsidR="00E66D7D" w:rsidRPr="009875B8" w:rsidRDefault="00E66D7D" w:rsidP="00E66D7D">
                            <w:pPr>
                              <w:rPr>
                                <w:rFonts w:ascii="Lora" w:hAnsi="Lora"/>
                                <w:b/>
                                <w:bCs/>
                                <w:color w:val="3F4954"/>
                                <w:sz w:val="56"/>
                                <w:szCs w:val="56"/>
                                <w:lang w:val="nl-NL"/>
                              </w:rPr>
                            </w:pPr>
                            <w:r w:rsidRPr="009875B8">
                              <w:rPr>
                                <w:rFonts w:ascii="Lora" w:hAnsi="Lora"/>
                                <w:b/>
                                <w:bCs/>
                                <w:color w:val="3F4954"/>
                                <w:sz w:val="56"/>
                                <w:szCs w:val="56"/>
                                <w:lang w:val="nl-NL"/>
                              </w:rPr>
                              <w:t>Bestek</w:t>
                            </w:r>
                          </w:p>
                          <w:p w14:paraId="2C98E8E4" w14:textId="4EE45179" w:rsidR="00E66D7D" w:rsidRPr="009875B8" w:rsidRDefault="00E66D7D" w:rsidP="00E66D7D">
                            <w:pPr>
                              <w:rPr>
                                <w:rFonts w:ascii="Lora" w:hAnsi="Lora"/>
                                <w:b/>
                                <w:bCs/>
                                <w:color w:val="3F4954"/>
                                <w:sz w:val="56"/>
                                <w:szCs w:val="56"/>
                                <w:lang w:val="nl-NL"/>
                              </w:rPr>
                            </w:pPr>
                            <w:r w:rsidRPr="00CF3265">
                              <w:rPr>
                                <w:rFonts w:ascii="Lora" w:hAnsi="Lora"/>
                                <w:b/>
                                <w:bCs/>
                                <w:color w:val="3F4954"/>
                                <w:sz w:val="56"/>
                                <w:szCs w:val="56"/>
                                <w:lang w:val="nl-NL"/>
                              </w:rPr>
                              <w:t>Nr. S2/20</w:t>
                            </w:r>
                            <w:r w:rsidR="005251B9" w:rsidRPr="00CF3265">
                              <w:rPr>
                                <w:rFonts w:ascii="Lora" w:hAnsi="Lora"/>
                                <w:b/>
                                <w:bCs/>
                                <w:color w:val="3F4954"/>
                                <w:sz w:val="56"/>
                                <w:szCs w:val="56"/>
                                <w:lang w:val="nl-NL"/>
                              </w:rPr>
                              <w:t>22</w:t>
                            </w:r>
                            <w:r w:rsidRPr="00CF3265">
                              <w:rPr>
                                <w:rFonts w:ascii="Lora" w:hAnsi="Lora"/>
                                <w:b/>
                                <w:bCs/>
                                <w:color w:val="3F4954"/>
                                <w:sz w:val="56"/>
                                <w:szCs w:val="56"/>
                                <w:lang w:val="nl-NL"/>
                              </w:rPr>
                              <w:t>/</w:t>
                            </w:r>
                            <w:r w:rsidR="005251B9" w:rsidRPr="00CF3265">
                              <w:rPr>
                                <w:rFonts w:ascii="Lora" w:hAnsi="Lora"/>
                                <w:b/>
                                <w:bCs/>
                                <w:color w:val="3F4954"/>
                                <w:sz w:val="56"/>
                                <w:szCs w:val="56"/>
                                <w:lang w:val="nl-NL"/>
                              </w:rPr>
                              <w:t>0</w:t>
                            </w:r>
                            <w:r w:rsidR="008B70AD" w:rsidRPr="00CF3265">
                              <w:rPr>
                                <w:rFonts w:ascii="Lora" w:hAnsi="Lora"/>
                                <w:b/>
                                <w:bCs/>
                                <w:color w:val="3F4954"/>
                                <w:sz w:val="56"/>
                                <w:szCs w:val="56"/>
                                <w:lang w:val="nl-N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998C8" id="_x0000_t202" coordsize="21600,21600" o:spt="202" path="m,l,21600r21600,l21600,xe">
                <v:stroke joinstyle="miter"/>
                <v:path gradientshapeok="t" o:connecttype="rect"/>
              </v:shapetype>
              <v:shape id="Zone de texte 2" o:spid="_x0000_s1026" type="#_x0000_t202" style="position:absolute;left:0;text-align:left;margin-left:0;margin-top:401.6pt;width:596.95pt;height:88.6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" fillcolor="window" stroked="f">
                <v:textbox>
                  <w:txbxContent>
                    <w:p w14:paraId="2451BCE6" w14:textId="3D81835A" w:rsidR="00E66D7D" w:rsidRPr="009875B8" w:rsidRDefault="00E66D7D" w:rsidP="00E66D7D">
                      <w:pPr>
                        <w:rPr>
                          <w:rFonts w:ascii="Lora" w:hAnsi="Lora"/>
                          <w:b/>
                          <w:bCs/>
                          <w:color w:val="3F4954"/>
                          <w:sz w:val="56"/>
                          <w:szCs w:val="56"/>
                          <w:lang w:val="nl-NL"/>
                        </w:rPr>
                      </w:pPr>
                      <w:r w:rsidRPr="009875B8">
                        <w:rPr>
                          <w:rFonts w:ascii="Lora" w:hAnsi="Lora"/>
                          <w:b/>
                          <w:bCs/>
                          <w:color w:val="3F4954"/>
                          <w:sz w:val="56"/>
                          <w:szCs w:val="56"/>
                          <w:lang w:val="nl-NL"/>
                        </w:rPr>
                        <w:t>Bestek</w:t>
                      </w:r>
                    </w:p>
                    <w:p w14:paraId="2C98E8E4" w14:textId="4EE45179" w:rsidR="00E66D7D" w:rsidRPr="009875B8" w:rsidRDefault="00E66D7D" w:rsidP="00E66D7D">
                      <w:pPr>
                        <w:rPr>
                          <w:rFonts w:ascii="Lora" w:hAnsi="Lora"/>
                          <w:b/>
                          <w:bCs/>
                          <w:color w:val="3F4954"/>
                          <w:sz w:val="56"/>
                          <w:szCs w:val="56"/>
                          <w:lang w:val="nl-NL"/>
                        </w:rPr>
                      </w:pPr>
                      <w:r w:rsidRPr="00CF3265">
                        <w:rPr>
                          <w:rFonts w:ascii="Lora" w:hAnsi="Lora"/>
                          <w:b/>
                          <w:bCs/>
                          <w:color w:val="3F4954"/>
                          <w:sz w:val="56"/>
                          <w:szCs w:val="56"/>
                          <w:lang w:val="nl-NL"/>
                        </w:rPr>
                        <w:t>Nr. S2/20</w:t>
                      </w:r>
                      <w:r w:rsidR="005251B9" w:rsidRPr="00CF3265">
                        <w:rPr>
                          <w:rFonts w:ascii="Lora" w:hAnsi="Lora"/>
                          <w:b/>
                          <w:bCs/>
                          <w:color w:val="3F4954"/>
                          <w:sz w:val="56"/>
                          <w:szCs w:val="56"/>
                          <w:lang w:val="nl-NL"/>
                        </w:rPr>
                        <w:t>22</w:t>
                      </w:r>
                      <w:r w:rsidRPr="00CF3265">
                        <w:rPr>
                          <w:rFonts w:ascii="Lora" w:hAnsi="Lora"/>
                          <w:b/>
                          <w:bCs/>
                          <w:color w:val="3F4954"/>
                          <w:sz w:val="56"/>
                          <w:szCs w:val="56"/>
                          <w:lang w:val="nl-NL"/>
                        </w:rPr>
                        <w:t>/</w:t>
                      </w:r>
                      <w:r w:rsidR="005251B9" w:rsidRPr="00CF3265">
                        <w:rPr>
                          <w:rFonts w:ascii="Lora" w:hAnsi="Lora"/>
                          <w:b/>
                          <w:bCs/>
                          <w:color w:val="3F4954"/>
                          <w:sz w:val="56"/>
                          <w:szCs w:val="56"/>
                          <w:lang w:val="nl-NL"/>
                        </w:rPr>
                        <w:t>0</w:t>
                      </w:r>
                      <w:r w:rsidR="008B70AD" w:rsidRPr="00CF3265">
                        <w:rPr>
                          <w:rFonts w:ascii="Lora" w:hAnsi="Lora"/>
                          <w:b/>
                          <w:bCs/>
                          <w:color w:val="3F4954"/>
                          <w:sz w:val="56"/>
                          <w:szCs w:val="56"/>
                          <w:lang w:val="nl-NL"/>
                        </w:rPr>
                        <w:t>3</w:t>
                      </w:r>
                    </w:p>
                  </w:txbxContent>
                </v:textbox>
                <w10:wrap anchorx="page"/>
                <w10:anchorlock/>
              </v:shape>
            </w:pict>
          </mc:Fallback>
        </mc:AlternateContent>
      </w:r>
      <w:r w:rsidR="00D511C4" w:rsidRPr="00D511C4">
        <w:rPr>
          <w:rFonts w:eastAsia="Times New Roman" w:cs="Arial"/>
          <w:noProof/>
          <w:color w:val="262626"/>
          <w:szCs w:val="22"/>
          <w:lang w:val="nl-BE"/>
        </w:rPr>
        <w:drawing>
          <wp:anchor distT="0" distB="0" distL="114300" distR="114300" simplePos="0" relativeHeight="251651072" behindDoc="1" locked="1" layoutInCell="1" allowOverlap="1" wp14:anchorId="7213E51F" wp14:editId="54280CF2">
            <wp:simplePos x="0" y="0"/>
            <wp:positionH relativeFrom="margin">
              <wp:posOffset>-905510</wp:posOffset>
            </wp:positionH>
            <wp:positionV relativeFrom="paragraph">
              <wp:posOffset>-1245235</wp:posOffset>
            </wp:positionV>
            <wp:extent cx="7558405" cy="10691495"/>
            <wp:effectExtent l="0" t="0" r="4445"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sidR="00D511C4" w:rsidRPr="00D511C4">
        <w:rPr>
          <w:rFonts w:eastAsia="Times New Roman" w:cs="Arial"/>
          <w:noProof/>
          <w:color w:val="262626"/>
          <w:szCs w:val="22"/>
          <w:lang w:val="nl-BE"/>
        </w:rPr>
        <mc:AlternateContent>
          <mc:Choice Requires="wps">
            <w:drawing>
              <wp:anchor distT="0" distB="0" distL="114300" distR="114300" simplePos="0" relativeHeight="251655168" behindDoc="0" locked="1" layoutInCell="1" allowOverlap="1" wp14:anchorId="2C64BD04" wp14:editId="74243CE0">
                <wp:simplePos x="0" y="0"/>
                <wp:positionH relativeFrom="margin">
                  <wp:posOffset>-899160</wp:posOffset>
                </wp:positionH>
                <wp:positionV relativeFrom="paragraph">
                  <wp:posOffset>4586605</wp:posOffset>
                </wp:positionV>
                <wp:extent cx="7545070" cy="406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545070" cy="406400"/>
                        </a:xfrm>
                        <a:prstGeom prst="rect">
                          <a:avLst/>
                        </a:prstGeom>
                        <a:solidFill>
                          <a:schemeClr val="bg1"/>
                        </a:solidFill>
                        <a:ln w="6350">
                          <a:noFill/>
                        </a:ln>
                      </wps:spPr>
                      <wps:txbx>
                        <w:txbxContent>
                          <w:p w14:paraId="2319245B" w14:textId="42F85482" w:rsidR="00D511C4" w:rsidRPr="00100761" w:rsidRDefault="00D511C4" w:rsidP="002C3240">
                            <w:pPr>
                              <w:jc w:val="both"/>
                              <w:rPr>
                                <w:rFonts w:ascii="Lora Medium" w:hAnsi="Lora Medium"/>
                                <w:color w:val="897464"/>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BD04" id="Zone de texte 5" o:spid="_x0000_s1027" type="#_x0000_t202" style="position:absolute;left:0;text-align:left;margin-left:-70.8pt;margin-top:361.15pt;width:594.1pt;height: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0LLwIAAFs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" fillcolor="white [3212]" stroked="f" strokeweight=".5pt">
                <v:textbox>
                  <w:txbxContent>
                    <w:p w14:paraId="2319245B" w14:textId="42F85482" w:rsidR="00D511C4" w:rsidRPr="00100761" w:rsidRDefault="00D511C4" w:rsidP="002C3240">
                      <w:pPr>
                        <w:jc w:val="both"/>
                        <w:rPr>
                          <w:rFonts w:ascii="Lora Medium" w:hAnsi="Lora Medium"/>
                          <w:color w:val="897464"/>
                          <w:sz w:val="60"/>
                          <w:szCs w:val="60"/>
                        </w:rPr>
                      </w:pPr>
                    </w:p>
                  </w:txbxContent>
                </v:textbox>
                <w10:wrap anchorx="margin"/>
                <w10:anchorlock/>
              </v:shape>
            </w:pict>
          </mc:Fallback>
        </mc:AlternateContent>
      </w:r>
      <w:r w:rsidR="00D511C4" w:rsidRPr="00D511C4">
        <w:rPr>
          <w:rFonts w:eastAsia="Times New Roman" w:cs="Arial"/>
          <w:noProof/>
          <w:color w:val="262626"/>
          <w:szCs w:val="22"/>
          <w:lang w:val="nl-BE"/>
        </w:rPr>
        <mc:AlternateContent>
          <mc:Choice Requires="wps">
            <w:drawing>
              <wp:anchor distT="45720" distB="45720" distL="114300" distR="114300" simplePos="0" relativeHeight="251659264" behindDoc="0" locked="1" layoutInCell="1" allowOverlap="1" wp14:anchorId="286F8EAE" wp14:editId="02A469D9">
                <wp:simplePos x="0" y="0"/>
                <wp:positionH relativeFrom="page">
                  <wp:posOffset>12700</wp:posOffset>
                </wp:positionH>
                <wp:positionV relativeFrom="paragraph">
                  <wp:posOffset>2668905</wp:posOffset>
                </wp:positionV>
                <wp:extent cx="7581265" cy="1270000"/>
                <wp:effectExtent l="0" t="0" r="635"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1270000"/>
                        </a:xfrm>
                        <a:prstGeom prst="rect">
                          <a:avLst/>
                        </a:prstGeom>
                        <a:solidFill>
                          <a:schemeClr val="bg1"/>
                        </a:solidFill>
                        <a:ln w="9525">
                          <a:noFill/>
                          <a:miter lim="800000"/>
                          <a:headEnd/>
                          <a:tailEnd/>
                        </a:ln>
                      </wps:spPr>
                      <wps:txbx>
                        <w:txbxContent>
                          <w:p w14:paraId="079F6845" w14:textId="77777777" w:rsidR="00E66D7D" w:rsidRPr="009875B8" w:rsidRDefault="00E66D7D" w:rsidP="00E66D7D">
                            <w:pPr>
                              <w:rPr>
                                <w:rFonts w:ascii="Lora" w:hAnsi="Lora"/>
                                <w:b/>
                                <w:bCs/>
                                <w:color w:val="3F4954"/>
                                <w:sz w:val="56"/>
                                <w:szCs w:val="56"/>
                                <w:lang w:val="nl-NL"/>
                              </w:rPr>
                            </w:pPr>
                            <w:r w:rsidRPr="009875B8">
                              <w:rPr>
                                <w:rFonts w:ascii="Lora" w:hAnsi="Lora"/>
                                <w:b/>
                                <w:bCs/>
                                <w:color w:val="3F4954"/>
                                <w:sz w:val="56"/>
                                <w:szCs w:val="56"/>
                                <w:lang w:val="nl-NL"/>
                              </w:rPr>
                              <w:t xml:space="preserve">Openbare procedure voor de evaluatie </w:t>
                            </w:r>
                          </w:p>
                          <w:p w14:paraId="169469CA" w14:textId="129205ED" w:rsidR="00D511C4" w:rsidRPr="009875B8" w:rsidRDefault="00E66D7D" w:rsidP="00E66D7D">
                            <w:pPr>
                              <w:rPr>
                                <w:rFonts w:ascii="Lora" w:hAnsi="Lora"/>
                                <w:b/>
                                <w:bCs/>
                                <w:color w:val="3F4954"/>
                                <w:sz w:val="56"/>
                                <w:szCs w:val="56"/>
                                <w:lang w:val="nl-NL"/>
                              </w:rPr>
                            </w:pPr>
                            <w:r w:rsidRPr="009875B8">
                              <w:rPr>
                                <w:rFonts w:ascii="Lora" w:hAnsi="Lora"/>
                                <w:b/>
                                <w:bCs/>
                                <w:color w:val="3F4954"/>
                                <w:sz w:val="56"/>
                                <w:szCs w:val="56"/>
                                <w:lang w:val="nl-NL"/>
                              </w:rPr>
                              <w:t xml:space="preserve">van </w:t>
                            </w:r>
                            <w:r w:rsidR="005251B9">
                              <w:rPr>
                                <w:rFonts w:ascii="Lora" w:hAnsi="Lora"/>
                                <w:b/>
                                <w:bCs/>
                                <w:color w:val="3F4954"/>
                                <w:sz w:val="56"/>
                                <w:szCs w:val="56"/>
                                <w:lang w:val="nl-NL"/>
                              </w:rPr>
                              <w:t>de Belgische fragiliteitsbenadering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8EAE" id="_x0000_s1028" type="#_x0000_t202" style="position:absolute;left:0;text-align:left;margin-left:1pt;margin-top:210.15pt;width:596.95pt;height:10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" fillcolor="white [3212]" stroked="f">
                <v:textbox>
                  <w:txbxContent>
                    <w:p w14:paraId="079F6845" w14:textId="77777777" w:rsidR="00E66D7D" w:rsidRPr="009875B8" w:rsidRDefault="00E66D7D" w:rsidP="00E66D7D">
                      <w:pPr>
                        <w:rPr>
                          <w:rFonts w:ascii="Lora" w:hAnsi="Lora"/>
                          <w:b/>
                          <w:bCs/>
                          <w:color w:val="3F4954"/>
                          <w:sz w:val="56"/>
                          <w:szCs w:val="56"/>
                          <w:lang w:val="nl-NL"/>
                        </w:rPr>
                      </w:pPr>
                      <w:r w:rsidRPr="009875B8">
                        <w:rPr>
                          <w:rFonts w:ascii="Lora" w:hAnsi="Lora"/>
                          <w:b/>
                          <w:bCs/>
                          <w:color w:val="3F4954"/>
                          <w:sz w:val="56"/>
                          <w:szCs w:val="56"/>
                          <w:lang w:val="nl-NL"/>
                        </w:rPr>
                        <w:t xml:space="preserve">Openbare procedure voor de evaluatie </w:t>
                      </w:r>
                    </w:p>
                    <w:p w14:paraId="169469CA" w14:textId="129205ED" w:rsidR="00D511C4" w:rsidRPr="009875B8" w:rsidRDefault="00E66D7D" w:rsidP="00E66D7D">
                      <w:pPr>
                        <w:rPr>
                          <w:rFonts w:ascii="Lora" w:hAnsi="Lora"/>
                          <w:b/>
                          <w:bCs/>
                          <w:color w:val="3F4954"/>
                          <w:sz w:val="56"/>
                          <w:szCs w:val="56"/>
                          <w:lang w:val="nl-NL"/>
                        </w:rPr>
                      </w:pPr>
                      <w:r w:rsidRPr="009875B8">
                        <w:rPr>
                          <w:rFonts w:ascii="Lora" w:hAnsi="Lora"/>
                          <w:b/>
                          <w:bCs/>
                          <w:color w:val="3F4954"/>
                          <w:sz w:val="56"/>
                          <w:szCs w:val="56"/>
                          <w:lang w:val="nl-NL"/>
                        </w:rPr>
                        <w:t xml:space="preserve">van </w:t>
                      </w:r>
                      <w:r w:rsidR="005251B9">
                        <w:rPr>
                          <w:rFonts w:ascii="Lora" w:hAnsi="Lora"/>
                          <w:b/>
                          <w:bCs/>
                          <w:color w:val="3F4954"/>
                          <w:sz w:val="56"/>
                          <w:szCs w:val="56"/>
                          <w:lang w:val="nl-NL"/>
                        </w:rPr>
                        <w:t>de Belgische fragiliteitsbenadering</w:t>
                      </w:r>
                    </w:p>
                  </w:txbxContent>
                </v:textbox>
                <w10:wrap anchorx="page"/>
                <w10:anchorlock/>
              </v:shape>
            </w:pict>
          </mc:Fallback>
        </mc:AlternateContent>
      </w:r>
      <w:r w:rsidR="00D511C4" w:rsidRPr="00D511C4">
        <w:rPr>
          <w:rFonts w:eastAsia="Times New Roman" w:cs="Arial"/>
          <w:noProof/>
          <w:color w:val="262626"/>
          <w:szCs w:val="22"/>
          <w:lang w:val="nl-BE"/>
        </w:rPr>
        <mc:AlternateContent>
          <mc:Choice Requires="wps">
            <w:drawing>
              <wp:anchor distT="0" distB="0" distL="114300" distR="114300" simplePos="0" relativeHeight="251663360" behindDoc="0" locked="1" layoutInCell="1" allowOverlap="1" wp14:anchorId="4C464179" wp14:editId="397D90C5">
                <wp:simplePos x="0" y="0"/>
                <wp:positionH relativeFrom="margin">
                  <wp:posOffset>196850</wp:posOffset>
                </wp:positionH>
                <wp:positionV relativeFrom="paragraph">
                  <wp:posOffset>7787005</wp:posOffset>
                </wp:positionV>
                <wp:extent cx="5359400" cy="1078865"/>
                <wp:effectExtent l="0" t="0" r="6350" b="6985"/>
                <wp:wrapNone/>
                <wp:docPr id="6" name="Zone de texte 6"/>
                <wp:cNvGraphicFramePr/>
                <a:graphic xmlns:a="http://schemas.openxmlformats.org/drawingml/2006/main">
                  <a:graphicData uri="http://schemas.microsoft.com/office/word/2010/wordprocessingShape">
                    <wps:wsp>
                      <wps:cNvSpPr txBox="1"/>
                      <wps:spPr>
                        <a:xfrm>
                          <a:off x="0" y="0"/>
                          <a:ext cx="5359400" cy="1078865"/>
                        </a:xfrm>
                        <a:prstGeom prst="rect">
                          <a:avLst/>
                        </a:prstGeom>
                        <a:solidFill>
                          <a:schemeClr val="bg1"/>
                        </a:solidFill>
                        <a:ln w="6350">
                          <a:noFill/>
                        </a:ln>
                      </wps:spPr>
                      <wps:txbx>
                        <w:txbxContent>
                          <w:p w14:paraId="56AB1CBC" w14:textId="51C98C48" w:rsidR="00D511C4" w:rsidRDefault="00D511C4" w:rsidP="00D511C4">
                            <w:pPr>
                              <w:rPr>
                                <w:rFonts w:ascii="Lora" w:hAnsi="Lora"/>
                                <w:b/>
                                <w:bCs/>
                                <w:color w:val="3F4954"/>
                                <w:sz w:val="28"/>
                                <w:lang w:val="nl-NL"/>
                              </w:rPr>
                            </w:pPr>
                            <w:r w:rsidRPr="005924FE">
                              <w:rPr>
                                <w:rFonts w:ascii="Lora" w:hAnsi="Lora"/>
                                <w:b/>
                                <w:bCs/>
                                <w:color w:val="3F4954"/>
                                <w:sz w:val="28"/>
                                <w:lang w:val="nl-NL"/>
                              </w:rPr>
                              <w:t>Dienst</w:t>
                            </w:r>
                            <w:r w:rsidR="002C3240" w:rsidRPr="005924FE">
                              <w:rPr>
                                <w:rFonts w:ascii="Lora" w:hAnsi="Lora"/>
                                <w:b/>
                                <w:bCs/>
                                <w:color w:val="3F4954"/>
                                <w:sz w:val="28"/>
                                <w:lang w:val="nl-NL"/>
                              </w:rPr>
                              <w:t xml:space="preserve"> Bijzondere Evaluatie</w:t>
                            </w:r>
                            <w:r w:rsidR="005207B2">
                              <w:rPr>
                                <w:rFonts w:ascii="Lora" w:hAnsi="Lora"/>
                                <w:b/>
                                <w:bCs/>
                                <w:color w:val="3F4954"/>
                                <w:sz w:val="28"/>
                                <w:lang w:val="nl-NL"/>
                              </w:rPr>
                              <w:t xml:space="preserve"> van de Belgische Ontwikkelingssamenwerking</w:t>
                            </w:r>
                            <w:r w:rsidR="002C3240" w:rsidRPr="005924FE">
                              <w:rPr>
                                <w:rFonts w:ascii="Lora" w:hAnsi="Lora"/>
                                <w:b/>
                                <w:bCs/>
                                <w:color w:val="3F4954"/>
                                <w:sz w:val="28"/>
                                <w:lang w:val="nl-NL"/>
                              </w:rPr>
                              <w:t xml:space="preserve"> – S2</w:t>
                            </w:r>
                            <w:r w:rsidR="005207B2">
                              <w:rPr>
                                <w:rFonts w:ascii="Lora" w:hAnsi="Lora"/>
                                <w:b/>
                                <w:bCs/>
                                <w:color w:val="3F4954"/>
                                <w:sz w:val="28"/>
                                <w:lang w:val="nl-NL"/>
                              </w:rPr>
                              <w:t xml:space="preserve"> </w:t>
                            </w:r>
                          </w:p>
                          <w:p w14:paraId="7D7A3488" w14:textId="001FDEFF" w:rsidR="00D511C4" w:rsidRPr="005924FE" w:rsidRDefault="0010659E" w:rsidP="00D511C4">
                            <w:pPr>
                              <w:rPr>
                                <w:rFonts w:ascii="Lora" w:hAnsi="Lora"/>
                                <w:b/>
                                <w:bCs/>
                                <w:color w:val="897464"/>
                                <w:sz w:val="52"/>
                                <w:szCs w:val="52"/>
                                <w:lang w:val="nl-NL"/>
                              </w:rPr>
                            </w:pPr>
                            <w:r>
                              <w:rPr>
                                <w:rFonts w:ascii="Lora" w:hAnsi="Lora"/>
                                <w:b/>
                                <w:bCs/>
                                <w:color w:val="3F4954"/>
                                <w:sz w:val="28"/>
                                <w:lang w:val="nl-NL"/>
                              </w:rPr>
                              <w:t>November</w:t>
                            </w:r>
                            <w:r w:rsidR="00E66D7D" w:rsidRPr="005924FE">
                              <w:rPr>
                                <w:rFonts w:ascii="Lora" w:hAnsi="Lora"/>
                                <w:b/>
                                <w:bCs/>
                                <w:color w:val="3F4954"/>
                                <w:sz w:val="28"/>
                                <w:lang w:val="nl-NL"/>
                              </w:rPr>
                              <w:t xml:space="preserve"> </w:t>
                            </w:r>
                            <w:r w:rsidR="00480694">
                              <w:rPr>
                                <w:rFonts w:ascii="Lora" w:hAnsi="Lora"/>
                                <w:b/>
                                <w:bCs/>
                                <w:color w:val="3F4954"/>
                                <w:sz w:val="28"/>
                                <w:lang w:val="nl-NL"/>
                              </w:rPr>
                              <w:t>2022</w:t>
                            </w:r>
                          </w:p>
                          <w:p w14:paraId="543E363F" w14:textId="77777777" w:rsidR="00D511C4" w:rsidRPr="002C3240" w:rsidRDefault="00D511C4" w:rsidP="00D511C4">
                            <w:pPr>
                              <w:rPr>
                                <w:rFonts w:ascii="Roboto Medium" w:hAnsi="Roboto Medium"/>
                                <w:color w:val="897464"/>
                                <w:sz w:val="52"/>
                                <w:szCs w:val="5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4179" id="Zone de texte 6" o:spid="_x0000_s1029" type="#_x0000_t202" style="position:absolute;left:0;text-align:left;margin-left:15.5pt;margin-top:613.15pt;width:422pt;height:8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" fillcolor="white [3212]" stroked="f" strokeweight=".5pt">
                <v:textbox>
                  <w:txbxContent>
                    <w:p w14:paraId="56AB1CBC" w14:textId="51C98C48" w:rsidR="00D511C4" w:rsidRDefault="00D511C4" w:rsidP="00D511C4">
                      <w:pPr>
                        <w:rPr>
                          <w:rFonts w:ascii="Lora" w:hAnsi="Lora"/>
                          <w:b/>
                          <w:bCs/>
                          <w:color w:val="3F4954"/>
                          <w:sz w:val="28"/>
                          <w:lang w:val="nl-NL"/>
                        </w:rPr>
                      </w:pPr>
                      <w:r w:rsidRPr="005924FE">
                        <w:rPr>
                          <w:rFonts w:ascii="Lora" w:hAnsi="Lora"/>
                          <w:b/>
                          <w:bCs/>
                          <w:color w:val="3F4954"/>
                          <w:sz w:val="28"/>
                          <w:lang w:val="nl-NL"/>
                        </w:rPr>
                        <w:t>Dienst</w:t>
                      </w:r>
                      <w:r w:rsidR="002C3240" w:rsidRPr="005924FE">
                        <w:rPr>
                          <w:rFonts w:ascii="Lora" w:hAnsi="Lora"/>
                          <w:b/>
                          <w:bCs/>
                          <w:color w:val="3F4954"/>
                          <w:sz w:val="28"/>
                          <w:lang w:val="nl-NL"/>
                        </w:rPr>
                        <w:t xml:space="preserve"> Bijzondere Evaluatie</w:t>
                      </w:r>
                      <w:r w:rsidR="005207B2">
                        <w:rPr>
                          <w:rFonts w:ascii="Lora" w:hAnsi="Lora"/>
                          <w:b/>
                          <w:bCs/>
                          <w:color w:val="3F4954"/>
                          <w:sz w:val="28"/>
                          <w:lang w:val="nl-NL"/>
                        </w:rPr>
                        <w:t xml:space="preserve"> van de Belgische Ontwikkelingssamenwerking</w:t>
                      </w:r>
                      <w:r w:rsidR="002C3240" w:rsidRPr="005924FE">
                        <w:rPr>
                          <w:rFonts w:ascii="Lora" w:hAnsi="Lora"/>
                          <w:b/>
                          <w:bCs/>
                          <w:color w:val="3F4954"/>
                          <w:sz w:val="28"/>
                          <w:lang w:val="nl-NL"/>
                        </w:rPr>
                        <w:t xml:space="preserve"> – S2</w:t>
                      </w:r>
                      <w:r w:rsidR="005207B2">
                        <w:rPr>
                          <w:rFonts w:ascii="Lora" w:hAnsi="Lora"/>
                          <w:b/>
                          <w:bCs/>
                          <w:color w:val="3F4954"/>
                          <w:sz w:val="28"/>
                          <w:lang w:val="nl-NL"/>
                        </w:rPr>
                        <w:t xml:space="preserve"> </w:t>
                      </w:r>
                    </w:p>
                    <w:p w14:paraId="7D7A3488" w14:textId="001FDEFF" w:rsidR="00D511C4" w:rsidRPr="005924FE" w:rsidRDefault="0010659E" w:rsidP="00D511C4">
                      <w:pPr>
                        <w:rPr>
                          <w:rFonts w:ascii="Lora" w:hAnsi="Lora"/>
                          <w:b/>
                          <w:bCs/>
                          <w:color w:val="897464"/>
                          <w:sz w:val="52"/>
                          <w:szCs w:val="52"/>
                          <w:lang w:val="nl-NL"/>
                        </w:rPr>
                      </w:pPr>
                      <w:r>
                        <w:rPr>
                          <w:rFonts w:ascii="Lora" w:hAnsi="Lora"/>
                          <w:b/>
                          <w:bCs/>
                          <w:color w:val="3F4954"/>
                          <w:sz w:val="28"/>
                          <w:lang w:val="nl-NL"/>
                        </w:rPr>
                        <w:t>November</w:t>
                      </w:r>
                      <w:r w:rsidR="00E66D7D" w:rsidRPr="005924FE">
                        <w:rPr>
                          <w:rFonts w:ascii="Lora" w:hAnsi="Lora"/>
                          <w:b/>
                          <w:bCs/>
                          <w:color w:val="3F4954"/>
                          <w:sz w:val="28"/>
                          <w:lang w:val="nl-NL"/>
                        </w:rPr>
                        <w:t xml:space="preserve"> </w:t>
                      </w:r>
                      <w:r w:rsidR="00480694">
                        <w:rPr>
                          <w:rFonts w:ascii="Lora" w:hAnsi="Lora"/>
                          <w:b/>
                          <w:bCs/>
                          <w:color w:val="3F4954"/>
                          <w:sz w:val="28"/>
                          <w:lang w:val="nl-NL"/>
                        </w:rPr>
                        <w:t>2022</w:t>
                      </w:r>
                    </w:p>
                    <w:p w14:paraId="543E363F" w14:textId="77777777" w:rsidR="00D511C4" w:rsidRPr="002C3240" w:rsidRDefault="00D511C4" w:rsidP="00D511C4">
                      <w:pPr>
                        <w:rPr>
                          <w:rFonts w:ascii="Roboto Medium" w:hAnsi="Roboto Medium"/>
                          <w:color w:val="897464"/>
                          <w:sz w:val="52"/>
                          <w:szCs w:val="52"/>
                          <w:lang w:val="nl-NL"/>
                        </w:rPr>
                      </w:pPr>
                    </w:p>
                  </w:txbxContent>
                </v:textbox>
                <w10:wrap anchorx="margin"/>
                <w10:anchorlock/>
              </v:shape>
            </w:pict>
          </mc:Fallback>
        </mc:AlternateContent>
      </w:r>
      <w:r w:rsidR="00C010A9" w:rsidRPr="00C010A9">
        <w:rPr>
          <w:rFonts w:eastAsia="Times New Roman" w:cs="Arial"/>
          <w:color w:val="262626"/>
          <w:szCs w:val="22"/>
          <w:lang w:val="nl-BE"/>
        </w:rPr>
        <w:tab/>
      </w:r>
      <w:r w:rsidR="00C010A9" w:rsidRPr="00C010A9">
        <w:rPr>
          <w:rFonts w:eastAsia="Times New Roman" w:cs="Arial"/>
          <w:color w:val="262626"/>
          <w:szCs w:val="22"/>
          <w:lang w:val="nl-BE"/>
        </w:rPr>
        <w:tab/>
      </w:r>
      <w:r w:rsidR="00C010A9" w:rsidRPr="00C010A9">
        <w:rPr>
          <w:rFonts w:eastAsia="Times New Roman" w:cs="Arial"/>
          <w:color w:val="262626"/>
          <w:szCs w:val="22"/>
          <w:lang w:val="nl-BE"/>
        </w:rPr>
        <w:tab/>
      </w:r>
    </w:p>
    <w:p w14:paraId="02C6CC27" w14:textId="28097023" w:rsidR="00C010A9" w:rsidRPr="00C010A9" w:rsidRDefault="00C010A9" w:rsidP="00C010A9">
      <w:pPr>
        <w:spacing w:after="0"/>
        <w:jc w:val="left"/>
        <w:rPr>
          <w:rFonts w:eastAsia="Times New Roman" w:cs="Arial"/>
          <w:color w:val="262626"/>
          <w:szCs w:val="22"/>
          <w:lang w:val="nl-BE"/>
        </w:rPr>
        <w:sectPr w:rsidR="00C010A9" w:rsidRPr="00C010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p>
    <w:bookmarkEnd w:id="0" w:displacedByCustomXml="next"/>
    <w:bookmarkStart w:id="1" w:name="_Toc117601089" w:displacedByCustomXml="next"/>
    <w:bookmarkStart w:id="2" w:name="_Toc110435113" w:displacedByCustomXml="next"/>
    <w:sdt>
      <w:sdtPr>
        <w:rPr>
          <w:rFonts w:ascii="Roboto" w:eastAsiaTheme="minorHAnsi" w:hAnsi="Roboto" w:cstheme="minorBidi"/>
          <w:b w:val="0"/>
          <w:bCs w:val="0"/>
          <w:color w:val="auto"/>
          <w:sz w:val="22"/>
          <w:lang w:val="en-US"/>
        </w:rPr>
        <w:id w:val="1462774164"/>
        <w:docPartObj>
          <w:docPartGallery w:val="Table of Contents"/>
          <w:docPartUnique/>
        </w:docPartObj>
      </w:sdtPr>
      <w:sdtEndPr>
        <w:rPr>
          <w:noProof/>
        </w:rPr>
      </w:sdtEndPr>
      <w:sdtContent>
        <w:p w14:paraId="2B1FACC3" w14:textId="7ECB430C" w:rsidR="00DC461A" w:rsidRDefault="002E704D" w:rsidP="00E0145E">
          <w:pPr>
            <w:pStyle w:val="Vade-mecumtitre1"/>
            <w:numPr>
              <w:ilvl w:val="0"/>
              <w:numId w:val="0"/>
            </w:numPr>
          </w:pPr>
          <w:r>
            <w:t>Inhoudstabel</w:t>
          </w:r>
          <w:bookmarkEnd w:id="2"/>
          <w:bookmarkEnd w:id="1"/>
        </w:p>
        <w:p w14:paraId="348AADAA" w14:textId="69A44764" w:rsidR="00FE0ADE" w:rsidRDefault="00DC461A" w:rsidP="00FE0ADE">
          <w:pPr>
            <w:pStyle w:val="TOC1"/>
            <w:rPr>
              <w:rFonts w:asciiTheme="minorHAnsi" w:eastAsiaTheme="minorEastAsia" w:hAnsiTheme="minorHAnsi" w:cstheme="minorBidi"/>
              <w:szCs w:val="22"/>
            </w:rPr>
          </w:pPr>
          <w:r w:rsidRPr="79A775EF">
            <w:rPr>
              <w:b/>
              <w:bCs/>
              <w:noProof w:val="0"/>
            </w:rPr>
            <w:fldChar w:fldCharType="begin"/>
          </w:r>
          <w:r w:rsidRPr="005924FE">
            <w:rPr>
              <w:b/>
              <w:bCs/>
            </w:rPr>
            <w:instrText xml:space="preserve"> TOC \o "1-3" \h \z \u </w:instrText>
          </w:r>
          <w:r w:rsidRPr="79A775EF">
            <w:rPr>
              <w:b/>
              <w:bCs/>
              <w:noProof w:val="0"/>
            </w:rPr>
            <w:fldChar w:fldCharType="separate"/>
          </w:r>
          <w:hyperlink w:anchor="_Toc117601090" w:history="1">
            <w:r w:rsidR="00FE0ADE" w:rsidRPr="0091147F">
              <w:rPr>
                <w:rStyle w:val="Hyperlink"/>
                <w:rFonts w:ascii="Lora" w:hAnsi="Lora"/>
                <w:b/>
                <w:bCs/>
              </w:rPr>
              <w:t>A. ALGEMENE BEPALINGEN</w:t>
            </w:r>
            <w:r w:rsidR="00FE0ADE">
              <w:rPr>
                <w:webHidden/>
              </w:rPr>
              <w:tab/>
            </w:r>
            <w:r w:rsidR="00FE0ADE">
              <w:rPr>
                <w:webHidden/>
              </w:rPr>
              <w:fldChar w:fldCharType="begin"/>
            </w:r>
            <w:r w:rsidR="00FE0ADE">
              <w:rPr>
                <w:webHidden/>
              </w:rPr>
              <w:instrText xml:space="preserve"> PAGEREF _Toc117601090 \h </w:instrText>
            </w:r>
            <w:r w:rsidR="00FE0ADE">
              <w:rPr>
                <w:webHidden/>
              </w:rPr>
            </w:r>
            <w:r w:rsidR="00FE0ADE">
              <w:rPr>
                <w:webHidden/>
              </w:rPr>
              <w:fldChar w:fldCharType="separate"/>
            </w:r>
            <w:r w:rsidR="003E3FD2">
              <w:rPr>
                <w:webHidden/>
              </w:rPr>
              <w:t>1</w:t>
            </w:r>
            <w:r w:rsidR="00FE0ADE">
              <w:rPr>
                <w:webHidden/>
              </w:rPr>
              <w:fldChar w:fldCharType="end"/>
            </w:r>
          </w:hyperlink>
        </w:p>
        <w:p w14:paraId="47352494" w14:textId="4A1B57A1" w:rsidR="00FE0ADE" w:rsidRDefault="00D145AC" w:rsidP="00FE0ADE">
          <w:pPr>
            <w:pStyle w:val="TOC1"/>
            <w:rPr>
              <w:rFonts w:asciiTheme="minorHAnsi" w:eastAsiaTheme="minorEastAsia" w:hAnsiTheme="minorHAnsi" w:cstheme="minorBidi"/>
              <w:szCs w:val="22"/>
            </w:rPr>
          </w:pPr>
          <w:hyperlink w:anchor="_Toc117601091" w:history="1">
            <w:r w:rsidR="00FE0ADE" w:rsidRPr="0091147F">
              <w:rPr>
                <w:rStyle w:val="Hyperlink"/>
              </w:rPr>
              <w:t>A1. Voorwerp en aard van de opdracht</w:t>
            </w:r>
            <w:r w:rsidR="00FE0ADE">
              <w:rPr>
                <w:webHidden/>
              </w:rPr>
              <w:tab/>
            </w:r>
            <w:r w:rsidR="00FE0ADE">
              <w:rPr>
                <w:webHidden/>
              </w:rPr>
              <w:fldChar w:fldCharType="begin"/>
            </w:r>
            <w:r w:rsidR="00FE0ADE">
              <w:rPr>
                <w:webHidden/>
              </w:rPr>
              <w:instrText xml:space="preserve"> PAGEREF _Toc117601091 \h </w:instrText>
            </w:r>
            <w:r w:rsidR="00FE0ADE">
              <w:rPr>
                <w:webHidden/>
              </w:rPr>
            </w:r>
            <w:r w:rsidR="00FE0ADE">
              <w:rPr>
                <w:webHidden/>
              </w:rPr>
              <w:fldChar w:fldCharType="separate"/>
            </w:r>
            <w:r w:rsidR="003E3FD2">
              <w:rPr>
                <w:webHidden/>
              </w:rPr>
              <w:t>1</w:t>
            </w:r>
            <w:r w:rsidR="00FE0ADE">
              <w:rPr>
                <w:webHidden/>
              </w:rPr>
              <w:fldChar w:fldCharType="end"/>
            </w:r>
          </w:hyperlink>
        </w:p>
        <w:p w14:paraId="5CC92917" w14:textId="3B22F707" w:rsidR="00FE0ADE" w:rsidRDefault="00D145AC" w:rsidP="00FE0ADE">
          <w:pPr>
            <w:pStyle w:val="TOC1"/>
            <w:rPr>
              <w:rFonts w:asciiTheme="minorHAnsi" w:eastAsiaTheme="minorEastAsia" w:hAnsiTheme="minorHAnsi" w:cstheme="minorBidi"/>
              <w:szCs w:val="22"/>
            </w:rPr>
          </w:pPr>
          <w:hyperlink w:anchor="_Toc117601092" w:history="1">
            <w:r w:rsidR="00FE0ADE" w:rsidRPr="0091147F">
              <w:rPr>
                <w:rStyle w:val="Hyperlink"/>
              </w:rPr>
              <w:t>A2. Duur van de overeenkomst</w:t>
            </w:r>
            <w:r w:rsidR="00FE0ADE">
              <w:rPr>
                <w:webHidden/>
              </w:rPr>
              <w:tab/>
            </w:r>
            <w:r w:rsidR="00FE0ADE">
              <w:rPr>
                <w:webHidden/>
              </w:rPr>
              <w:fldChar w:fldCharType="begin"/>
            </w:r>
            <w:r w:rsidR="00FE0ADE">
              <w:rPr>
                <w:webHidden/>
              </w:rPr>
              <w:instrText xml:space="preserve"> PAGEREF _Toc117601092 \h </w:instrText>
            </w:r>
            <w:r w:rsidR="00FE0ADE">
              <w:rPr>
                <w:webHidden/>
              </w:rPr>
            </w:r>
            <w:r w:rsidR="00FE0ADE">
              <w:rPr>
                <w:webHidden/>
              </w:rPr>
              <w:fldChar w:fldCharType="separate"/>
            </w:r>
            <w:r w:rsidR="003E3FD2">
              <w:rPr>
                <w:webHidden/>
              </w:rPr>
              <w:t>1</w:t>
            </w:r>
            <w:r w:rsidR="00FE0ADE">
              <w:rPr>
                <w:webHidden/>
              </w:rPr>
              <w:fldChar w:fldCharType="end"/>
            </w:r>
          </w:hyperlink>
        </w:p>
        <w:p w14:paraId="2C3A43B4" w14:textId="0421408C" w:rsidR="00FE0ADE" w:rsidRDefault="00D145AC" w:rsidP="00FE0ADE">
          <w:pPr>
            <w:pStyle w:val="TOC1"/>
            <w:rPr>
              <w:rFonts w:asciiTheme="minorHAnsi" w:eastAsiaTheme="minorEastAsia" w:hAnsiTheme="minorHAnsi" w:cstheme="minorBidi"/>
              <w:szCs w:val="22"/>
            </w:rPr>
          </w:pPr>
          <w:hyperlink w:anchor="_Toc117601093" w:history="1">
            <w:r w:rsidR="00FE0ADE" w:rsidRPr="0091147F">
              <w:rPr>
                <w:rStyle w:val="Hyperlink"/>
              </w:rPr>
              <w:t>A3. Aanbestedende overheid</w:t>
            </w:r>
            <w:r w:rsidR="00FE0ADE">
              <w:rPr>
                <w:webHidden/>
              </w:rPr>
              <w:tab/>
            </w:r>
            <w:r w:rsidR="00FE0ADE">
              <w:rPr>
                <w:webHidden/>
              </w:rPr>
              <w:fldChar w:fldCharType="begin"/>
            </w:r>
            <w:r w:rsidR="00FE0ADE">
              <w:rPr>
                <w:webHidden/>
              </w:rPr>
              <w:instrText xml:space="preserve"> PAGEREF _Toc117601093 \h </w:instrText>
            </w:r>
            <w:r w:rsidR="00FE0ADE">
              <w:rPr>
                <w:webHidden/>
              </w:rPr>
            </w:r>
            <w:r w:rsidR="00FE0ADE">
              <w:rPr>
                <w:webHidden/>
              </w:rPr>
              <w:fldChar w:fldCharType="separate"/>
            </w:r>
            <w:r w:rsidR="003E3FD2">
              <w:rPr>
                <w:webHidden/>
              </w:rPr>
              <w:t>1</w:t>
            </w:r>
            <w:r w:rsidR="00FE0ADE">
              <w:rPr>
                <w:webHidden/>
              </w:rPr>
              <w:fldChar w:fldCharType="end"/>
            </w:r>
          </w:hyperlink>
        </w:p>
        <w:p w14:paraId="52441CE4" w14:textId="0322ECC9" w:rsidR="00FE0ADE" w:rsidRDefault="00D145AC" w:rsidP="00FE0ADE">
          <w:pPr>
            <w:pStyle w:val="TOC1"/>
            <w:rPr>
              <w:rFonts w:asciiTheme="minorHAnsi" w:eastAsiaTheme="minorEastAsia" w:hAnsiTheme="minorHAnsi" w:cstheme="minorBidi"/>
              <w:szCs w:val="22"/>
            </w:rPr>
          </w:pPr>
          <w:hyperlink w:anchor="_Toc117601094" w:history="1">
            <w:r w:rsidR="00FE0ADE" w:rsidRPr="0091147F">
              <w:rPr>
                <w:rStyle w:val="Hyperlink"/>
              </w:rPr>
              <w:t>A4. Bijkomende informatie</w:t>
            </w:r>
            <w:r w:rsidR="00FE0ADE">
              <w:rPr>
                <w:webHidden/>
              </w:rPr>
              <w:tab/>
            </w:r>
            <w:r w:rsidR="00FE0ADE">
              <w:rPr>
                <w:webHidden/>
              </w:rPr>
              <w:fldChar w:fldCharType="begin"/>
            </w:r>
            <w:r w:rsidR="00FE0ADE">
              <w:rPr>
                <w:webHidden/>
              </w:rPr>
              <w:instrText xml:space="preserve"> PAGEREF _Toc117601094 \h </w:instrText>
            </w:r>
            <w:r w:rsidR="00FE0ADE">
              <w:rPr>
                <w:webHidden/>
              </w:rPr>
            </w:r>
            <w:r w:rsidR="00FE0ADE">
              <w:rPr>
                <w:webHidden/>
              </w:rPr>
              <w:fldChar w:fldCharType="separate"/>
            </w:r>
            <w:r w:rsidR="003E3FD2">
              <w:rPr>
                <w:webHidden/>
              </w:rPr>
              <w:t>2</w:t>
            </w:r>
            <w:r w:rsidR="00FE0ADE">
              <w:rPr>
                <w:webHidden/>
              </w:rPr>
              <w:fldChar w:fldCharType="end"/>
            </w:r>
          </w:hyperlink>
        </w:p>
        <w:p w14:paraId="3C96A3A9" w14:textId="27451287" w:rsidR="00FE0ADE" w:rsidRDefault="00D145AC" w:rsidP="00FE0ADE">
          <w:pPr>
            <w:pStyle w:val="TOC1"/>
            <w:rPr>
              <w:rFonts w:asciiTheme="minorHAnsi" w:eastAsiaTheme="minorEastAsia" w:hAnsiTheme="minorHAnsi" w:cstheme="minorBidi"/>
              <w:szCs w:val="22"/>
            </w:rPr>
          </w:pPr>
          <w:hyperlink w:anchor="_Toc117601096" w:history="1">
            <w:r w:rsidR="00FE0ADE" w:rsidRPr="0091147F">
              <w:rPr>
                <w:rStyle w:val="Hyperlink"/>
              </w:rPr>
              <w:t>A5. Indiening van de offertes</w:t>
            </w:r>
            <w:r w:rsidR="00FE0ADE">
              <w:rPr>
                <w:webHidden/>
              </w:rPr>
              <w:tab/>
            </w:r>
            <w:r w:rsidR="00FE0ADE">
              <w:rPr>
                <w:webHidden/>
              </w:rPr>
              <w:fldChar w:fldCharType="begin"/>
            </w:r>
            <w:r w:rsidR="00FE0ADE">
              <w:rPr>
                <w:webHidden/>
              </w:rPr>
              <w:instrText xml:space="preserve"> PAGEREF _Toc117601096 \h </w:instrText>
            </w:r>
            <w:r w:rsidR="00FE0ADE">
              <w:rPr>
                <w:webHidden/>
              </w:rPr>
            </w:r>
            <w:r w:rsidR="00FE0ADE">
              <w:rPr>
                <w:webHidden/>
              </w:rPr>
              <w:fldChar w:fldCharType="separate"/>
            </w:r>
            <w:r w:rsidR="003E3FD2">
              <w:rPr>
                <w:webHidden/>
              </w:rPr>
              <w:t>3</w:t>
            </w:r>
            <w:r w:rsidR="00FE0ADE">
              <w:rPr>
                <w:webHidden/>
              </w:rPr>
              <w:fldChar w:fldCharType="end"/>
            </w:r>
          </w:hyperlink>
        </w:p>
        <w:p w14:paraId="6D79DC5A" w14:textId="1FCA201F" w:rsidR="00FE0ADE" w:rsidRDefault="00D145AC" w:rsidP="00FE0ADE">
          <w:pPr>
            <w:pStyle w:val="TOC1"/>
            <w:rPr>
              <w:rFonts w:asciiTheme="minorHAnsi" w:eastAsiaTheme="minorEastAsia" w:hAnsiTheme="minorHAnsi" w:cstheme="minorBidi"/>
              <w:szCs w:val="22"/>
            </w:rPr>
          </w:pPr>
          <w:hyperlink w:anchor="_Toc117601099" w:history="1">
            <w:r w:rsidR="00FE0ADE" w:rsidRPr="0091147F">
              <w:rPr>
                <w:rStyle w:val="Hyperlink"/>
              </w:rPr>
              <w:t>A6. Leidende ambtenaar</w:t>
            </w:r>
            <w:r w:rsidR="00FE0ADE">
              <w:rPr>
                <w:webHidden/>
              </w:rPr>
              <w:tab/>
            </w:r>
            <w:r w:rsidR="00FE0ADE">
              <w:rPr>
                <w:webHidden/>
              </w:rPr>
              <w:fldChar w:fldCharType="begin"/>
            </w:r>
            <w:r w:rsidR="00FE0ADE">
              <w:rPr>
                <w:webHidden/>
              </w:rPr>
              <w:instrText xml:space="preserve"> PAGEREF _Toc117601099 \h </w:instrText>
            </w:r>
            <w:r w:rsidR="00FE0ADE">
              <w:rPr>
                <w:webHidden/>
              </w:rPr>
            </w:r>
            <w:r w:rsidR="00FE0ADE">
              <w:rPr>
                <w:webHidden/>
              </w:rPr>
              <w:fldChar w:fldCharType="separate"/>
            </w:r>
            <w:r w:rsidR="003E3FD2">
              <w:rPr>
                <w:webHidden/>
              </w:rPr>
              <w:t>3</w:t>
            </w:r>
            <w:r w:rsidR="00FE0ADE">
              <w:rPr>
                <w:webHidden/>
              </w:rPr>
              <w:fldChar w:fldCharType="end"/>
            </w:r>
          </w:hyperlink>
        </w:p>
        <w:p w14:paraId="77075C62" w14:textId="1631D5CC" w:rsidR="00FE0ADE" w:rsidRDefault="00D145AC" w:rsidP="00FE0ADE">
          <w:pPr>
            <w:pStyle w:val="TOC1"/>
            <w:rPr>
              <w:rFonts w:asciiTheme="minorHAnsi" w:eastAsiaTheme="minorEastAsia" w:hAnsiTheme="minorHAnsi" w:cstheme="minorBidi"/>
              <w:szCs w:val="22"/>
            </w:rPr>
          </w:pPr>
          <w:hyperlink w:anchor="_Toc117601100" w:history="1">
            <w:r w:rsidR="00FE0ADE" w:rsidRPr="0091147F">
              <w:rPr>
                <w:rStyle w:val="Hyperlink"/>
              </w:rPr>
              <w:t>A7. Beschrijving van de te presteren diensten</w:t>
            </w:r>
            <w:r w:rsidR="00FE0ADE">
              <w:rPr>
                <w:webHidden/>
              </w:rPr>
              <w:tab/>
            </w:r>
            <w:r w:rsidR="00FE0ADE">
              <w:rPr>
                <w:webHidden/>
              </w:rPr>
              <w:fldChar w:fldCharType="begin"/>
            </w:r>
            <w:r w:rsidR="00FE0ADE">
              <w:rPr>
                <w:webHidden/>
              </w:rPr>
              <w:instrText xml:space="preserve"> PAGEREF _Toc117601100 \h </w:instrText>
            </w:r>
            <w:r w:rsidR="00FE0ADE">
              <w:rPr>
                <w:webHidden/>
              </w:rPr>
            </w:r>
            <w:r w:rsidR="00FE0ADE">
              <w:rPr>
                <w:webHidden/>
              </w:rPr>
              <w:fldChar w:fldCharType="separate"/>
            </w:r>
            <w:r w:rsidR="003E3FD2">
              <w:rPr>
                <w:webHidden/>
              </w:rPr>
              <w:t>4</w:t>
            </w:r>
            <w:r w:rsidR="00FE0ADE">
              <w:rPr>
                <w:webHidden/>
              </w:rPr>
              <w:fldChar w:fldCharType="end"/>
            </w:r>
          </w:hyperlink>
        </w:p>
        <w:p w14:paraId="707006D2" w14:textId="08581BB8" w:rsidR="00FE0ADE" w:rsidRDefault="00D145AC" w:rsidP="00FE0ADE">
          <w:pPr>
            <w:pStyle w:val="TOC1"/>
            <w:rPr>
              <w:rFonts w:asciiTheme="minorHAnsi" w:eastAsiaTheme="minorEastAsia" w:hAnsiTheme="minorHAnsi" w:cstheme="minorBidi"/>
              <w:szCs w:val="22"/>
            </w:rPr>
          </w:pPr>
          <w:hyperlink w:anchor="_Toc117601101" w:history="1">
            <w:r w:rsidR="00FE0ADE" w:rsidRPr="0091147F">
              <w:rPr>
                <w:rStyle w:val="Hyperlink"/>
              </w:rPr>
              <w:t>A8. Documenten van toepassing op de opdracht</w:t>
            </w:r>
            <w:r w:rsidR="00FE0ADE">
              <w:rPr>
                <w:webHidden/>
              </w:rPr>
              <w:tab/>
            </w:r>
            <w:r w:rsidR="00FE0ADE">
              <w:rPr>
                <w:webHidden/>
              </w:rPr>
              <w:fldChar w:fldCharType="begin"/>
            </w:r>
            <w:r w:rsidR="00FE0ADE">
              <w:rPr>
                <w:webHidden/>
              </w:rPr>
              <w:instrText xml:space="preserve"> PAGEREF _Toc117601101 \h </w:instrText>
            </w:r>
            <w:r w:rsidR="00FE0ADE">
              <w:rPr>
                <w:webHidden/>
              </w:rPr>
            </w:r>
            <w:r w:rsidR="00FE0ADE">
              <w:rPr>
                <w:webHidden/>
              </w:rPr>
              <w:fldChar w:fldCharType="separate"/>
            </w:r>
            <w:r w:rsidR="003E3FD2">
              <w:rPr>
                <w:webHidden/>
              </w:rPr>
              <w:t>4</w:t>
            </w:r>
            <w:r w:rsidR="00FE0ADE">
              <w:rPr>
                <w:webHidden/>
              </w:rPr>
              <w:fldChar w:fldCharType="end"/>
            </w:r>
          </w:hyperlink>
        </w:p>
        <w:p w14:paraId="69720EA6" w14:textId="32D2EA19" w:rsidR="00FE0ADE" w:rsidRDefault="00D145AC" w:rsidP="00FE0ADE">
          <w:pPr>
            <w:pStyle w:val="TOC1"/>
            <w:rPr>
              <w:rFonts w:asciiTheme="minorHAnsi" w:eastAsiaTheme="minorEastAsia" w:hAnsiTheme="minorHAnsi" w:cstheme="minorBidi"/>
              <w:szCs w:val="22"/>
            </w:rPr>
          </w:pPr>
          <w:hyperlink w:anchor="_Toc117601105" w:history="1">
            <w:r w:rsidR="00FE0ADE" w:rsidRPr="0091147F">
              <w:rPr>
                <w:rStyle w:val="Hyperlink"/>
              </w:rPr>
              <w:t>A9. Offertes</w:t>
            </w:r>
            <w:r w:rsidR="00FE0ADE">
              <w:rPr>
                <w:webHidden/>
              </w:rPr>
              <w:tab/>
            </w:r>
            <w:r w:rsidR="00FE0ADE">
              <w:rPr>
                <w:webHidden/>
              </w:rPr>
              <w:fldChar w:fldCharType="begin"/>
            </w:r>
            <w:r w:rsidR="00FE0ADE">
              <w:rPr>
                <w:webHidden/>
              </w:rPr>
              <w:instrText xml:space="preserve"> PAGEREF _Toc117601105 \h </w:instrText>
            </w:r>
            <w:r w:rsidR="00FE0ADE">
              <w:rPr>
                <w:webHidden/>
              </w:rPr>
            </w:r>
            <w:r w:rsidR="00FE0ADE">
              <w:rPr>
                <w:webHidden/>
              </w:rPr>
              <w:fldChar w:fldCharType="separate"/>
            </w:r>
            <w:r w:rsidR="003E3FD2">
              <w:rPr>
                <w:webHidden/>
              </w:rPr>
              <w:t>5</w:t>
            </w:r>
            <w:r w:rsidR="00FE0ADE">
              <w:rPr>
                <w:webHidden/>
              </w:rPr>
              <w:fldChar w:fldCharType="end"/>
            </w:r>
          </w:hyperlink>
        </w:p>
        <w:p w14:paraId="792926A9" w14:textId="199C32FF" w:rsidR="00FE0ADE" w:rsidRDefault="00D145AC" w:rsidP="00FE0ADE">
          <w:pPr>
            <w:pStyle w:val="TOC1"/>
            <w:rPr>
              <w:rFonts w:asciiTheme="minorHAnsi" w:eastAsiaTheme="minorEastAsia" w:hAnsiTheme="minorHAnsi" w:cstheme="minorBidi"/>
              <w:szCs w:val="22"/>
            </w:rPr>
          </w:pPr>
          <w:hyperlink w:anchor="_Toc117601109" w:history="1">
            <w:r w:rsidR="00FE0ADE" w:rsidRPr="0091147F">
              <w:rPr>
                <w:rStyle w:val="Hyperlink"/>
              </w:rPr>
              <w:t>A10. Prijzen</w:t>
            </w:r>
            <w:r w:rsidR="00FE0ADE">
              <w:rPr>
                <w:webHidden/>
              </w:rPr>
              <w:tab/>
            </w:r>
            <w:r w:rsidR="00FE0ADE">
              <w:rPr>
                <w:webHidden/>
              </w:rPr>
              <w:fldChar w:fldCharType="begin"/>
            </w:r>
            <w:r w:rsidR="00FE0ADE">
              <w:rPr>
                <w:webHidden/>
              </w:rPr>
              <w:instrText xml:space="preserve"> PAGEREF _Toc117601109 \h </w:instrText>
            </w:r>
            <w:r w:rsidR="00FE0ADE">
              <w:rPr>
                <w:webHidden/>
              </w:rPr>
            </w:r>
            <w:r w:rsidR="00FE0ADE">
              <w:rPr>
                <w:webHidden/>
              </w:rPr>
              <w:fldChar w:fldCharType="separate"/>
            </w:r>
            <w:r w:rsidR="003E3FD2">
              <w:rPr>
                <w:webHidden/>
              </w:rPr>
              <w:t>6</w:t>
            </w:r>
            <w:r w:rsidR="00FE0ADE">
              <w:rPr>
                <w:webHidden/>
              </w:rPr>
              <w:fldChar w:fldCharType="end"/>
            </w:r>
          </w:hyperlink>
        </w:p>
        <w:p w14:paraId="31F676C6" w14:textId="494906A2" w:rsidR="00FE0ADE" w:rsidRDefault="00D145AC" w:rsidP="00FE0ADE">
          <w:pPr>
            <w:pStyle w:val="TOC1"/>
            <w:rPr>
              <w:rFonts w:asciiTheme="minorHAnsi" w:eastAsiaTheme="minorEastAsia" w:hAnsiTheme="minorHAnsi" w:cstheme="minorBidi"/>
              <w:szCs w:val="22"/>
            </w:rPr>
          </w:pPr>
          <w:hyperlink w:anchor="_Toc117601112" w:history="1">
            <w:r w:rsidR="00FE0ADE" w:rsidRPr="0091147F">
              <w:rPr>
                <w:rStyle w:val="Hyperlink"/>
              </w:rPr>
              <w:t>A11. Selectie - Regelmatigheid van de offertes – Gunningscriteria</w:t>
            </w:r>
            <w:r w:rsidR="00FE0ADE">
              <w:rPr>
                <w:webHidden/>
              </w:rPr>
              <w:tab/>
            </w:r>
            <w:r w:rsidR="00FE0ADE">
              <w:rPr>
                <w:webHidden/>
              </w:rPr>
              <w:fldChar w:fldCharType="begin"/>
            </w:r>
            <w:r w:rsidR="00FE0ADE">
              <w:rPr>
                <w:webHidden/>
              </w:rPr>
              <w:instrText xml:space="preserve"> PAGEREF _Toc117601112 \h </w:instrText>
            </w:r>
            <w:r w:rsidR="00FE0ADE">
              <w:rPr>
                <w:webHidden/>
              </w:rPr>
            </w:r>
            <w:r w:rsidR="00FE0ADE">
              <w:rPr>
                <w:webHidden/>
              </w:rPr>
              <w:fldChar w:fldCharType="separate"/>
            </w:r>
            <w:r w:rsidR="003E3FD2">
              <w:rPr>
                <w:webHidden/>
              </w:rPr>
              <w:t>6</w:t>
            </w:r>
            <w:r w:rsidR="00FE0ADE">
              <w:rPr>
                <w:webHidden/>
              </w:rPr>
              <w:fldChar w:fldCharType="end"/>
            </w:r>
          </w:hyperlink>
        </w:p>
        <w:p w14:paraId="114E4684" w14:textId="68D42636" w:rsidR="00FE0ADE" w:rsidRDefault="00D145AC" w:rsidP="00FE0ADE">
          <w:pPr>
            <w:pStyle w:val="TOC1"/>
            <w:rPr>
              <w:rFonts w:asciiTheme="minorHAnsi" w:eastAsiaTheme="minorEastAsia" w:hAnsiTheme="minorHAnsi" w:cstheme="minorBidi"/>
              <w:szCs w:val="22"/>
            </w:rPr>
          </w:pPr>
          <w:hyperlink w:anchor="_Toc117601120" w:history="1">
            <w:r w:rsidR="00FE0ADE" w:rsidRPr="0091147F">
              <w:rPr>
                <w:rStyle w:val="Hyperlink"/>
              </w:rPr>
              <w:t>A12. Borgtocht</w:t>
            </w:r>
            <w:r w:rsidR="00FE0ADE">
              <w:rPr>
                <w:webHidden/>
              </w:rPr>
              <w:tab/>
            </w:r>
            <w:r w:rsidR="00FE0ADE">
              <w:rPr>
                <w:webHidden/>
              </w:rPr>
              <w:fldChar w:fldCharType="begin"/>
            </w:r>
            <w:r w:rsidR="00FE0ADE">
              <w:rPr>
                <w:webHidden/>
              </w:rPr>
              <w:instrText xml:space="preserve"> PAGEREF _Toc117601120 \h </w:instrText>
            </w:r>
            <w:r w:rsidR="00FE0ADE">
              <w:rPr>
                <w:webHidden/>
              </w:rPr>
            </w:r>
            <w:r w:rsidR="00FE0ADE">
              <w:rPr>
                <w:webHidden/>
              </w:rPr>
              <w:fldChar w:fldCharType="separate"/>
            </w:r>
            <w:r w:rsidR="003E3FD2">
              <w:rPr>
                <w:webHidden/>
              </w:rPr>
              <w:t>11</w:t>
            </w:r>
            <w:r w:rsidR="00FE0ADE">
              <w:rPr>
                <w:webHidden/>
              </w:rPr>
              <w:fldChar w:fldCharType="end"/>
            </w:r>
          </w:hyperlink>
        </w:p>
        <w:p w14:paraId="1DD301F5" w14:textId="593ED939" w:rsidR="00FE0ADE" w:rsidRDefault="00D145AC" w:rsidP="00FE0ADE">
          <w:pPr>
            <w:pStyle w:val="TOC1"/>
            <w:rPr>
              <w:rFonts w:asciiTheme="minorHAnsi" w:eastAsiaTheme="minorEastAsia" w:hAnsiTheme="minorHAnsi" w:cstheme="minorBidi"/>
              <w:szCs w:val="22"/>
            </w:rPr>
          </w:pPr>
          <w:hyperlink w:anchor="_Toc117601128" w:history="1">
            <w:r w:rsidR="00FE0ADE" w:rsidRPr="0091147F">
              <w:rPr>
                <w:rStyle w:val="Hyperlink"/>
              </w:rPr>
              <w:t>A14. Uitvoering van de diensten</w:t>
            </w:r>
            <w:r w:rsidR="00FE0ADE">
              <w:rPr>
                <w:webHidden/>
              </w:rPr>
              <w:tab/>
            </w:r>
            <w:r w:rsidR="00FE0ADE">
              <w:rPr>
                <w:webHidden/>
              </w:rPr>
              <w:fldChar w:fldCharType="begin"/>
            </w:r>
            <w:r w:rsidR="00FE0ADE">
              <w:rPr>
                <w:webHidden/>
              </w:rPr>
              <w:instrText xml:space="preserve"> PAGEREF _Toc117601128 \h </w:instrText>
            </w:r>
            <w:r w:rsidR="00FE0ADE">
              <w:rPr>
                <w:webHidden/>
              </w:rPr>
            </w:r>
            <w:r w:rsidR="00FE0ADE">
              <w:rPr>
                <w:webHidden/>
              </w:rPr>
              <w:fldChar w:fldCharType="separate"/>
            </w:r>
            <w:r w:rsidR="003E3FD2">
              <w:rPr>
                <w:webHidden/>
              </w:rPr>
              <w:t>17</w:t>
            </w:r>
            <w:r w:rsidR="00FE0ADE">
              <w:rPr>
                <w:webHidden/>
              </w:rPr>
              <w:fldChar w:fldCharType="end"/>
            </w:r>
          </w:hyperlink>
        </w:p>
        <w:p w14:paraId="43332A8B" w14:textId="7F047940" w:rsidR="00FE0ADE" w:rsidRDefault="00D145AC" w:rsidP="00FE0ADE">
          <w:pPr>
            <w:pStyle w:val="TOC1"/>
            <w:rPr>
              <w:rFonts w:asciiTheme="minorHAnsi" w:eastAsiaTheme="minorEastAsia" w:hAnsiTheme="minorHAnsi" w:cstheme="minorBidi"/>
              <w:szCs w:val="22"/>
            </w:rPr>
          </w:pPr>
          <w:hyperlink w:anchor="_Toc117601133" w:history="1">
            <w:r w:rsidR="00FE0ADE" w:rsidRPr="0091147F">
              <w:rPr>
                <w:rStyle w:val="Hyperlink"/>
              </w:rPr>
              <w:t>A15. Opvolging en begeleiding</w:t>
            </w:r>
            <w:r w:rsidR="00FE0ADE">
              <w:rPr>
                <w:webHidden/>
              </w:rPr>
              <w:tab/>
            </w:r>
            <w:r w:rsidR="00FE0ADE">
              <w:rPr>
                <w:webHidden/>
              </w:rPr>
              <w:fldChar w:fldCharType="begin"/>
            </w:r>
            <w:r w:rsidR="00FE0ADE">
              <w:rPr>
                <w:webHidden/>
              </w:rPr>
              <w:instrText xml:space="preserve"> PAGEREF _Toc117601133 \h </w:instrText>
            </w:r>
            <w:r w:rsidR="00FE0ADE">
              <w:rPr>
                <w:webHidden/>
              </w:rPr>
            </w:r>
            <w:r w:rsidR="00FE0ADE">
              <w:rPr>
                <w:webHidden/>
              </w:rPr>
              <w:fldChar w:fldCharType="separate"/>
            </w:r>
            <w:r w:rsidR="003E3FD2">
              <w:rPr>
                <w:webHidden/>
              </w:rPr>
              <w:t>18</w:t>
            </w:r>
            <w:r w:rsidR="00FE0ADE">
              <w:rPr>
                <w:webHidden/>
              </w:rPr>
              <w:fldChar w:fldCharType="end"/>
            </w:r>
          </w:hyperlink>
        </w:p>
        <w:p w14:paraId="3BD472C9" w14:textId="1C3BC864" w:rsidR="00FE0ADE" w:rsidRDefault="00D145AC" w:rsidP="00FE0ADE">
          <w:pPr>
            <w:pStyle w:val="TOC1"/>
            <w:rPr>
              <w:rFonts w:asciiTheme="minorHAnsi" w:eastAsiaTheme="minorEastAsia" w:hAnsiTheme="minorHAnsi" w:cstheme="minorBidi"/>
              <w:szCs w:val="22"/>
            </w:rPr>
          </w:pPr>
          <w:hyperlink w:anchor="_Toc117601136" w:history="1">
            <w:r w:rsidR="00FE0ADE" w:rsidRPr="0091147F">
              <w:rPr>
                <w:rStyle w:val="Hyperlink"/>
              </w:rPr>
              <w:t>A16. Facturatie en betaling</w:t>
            </w:r>
            <w:r w:rsidR="00FE0ADE">
              <w:rPr>
                <w:webHidden/>
              </w:rPr>
              <w:tab/>
            </w:r>
            <w:r w:rsidR="00FE0ADE">
              <w:rPr>
                <w:webHidden/>
              </w:rPr>
              <w:fldChar w:fldCharType="begin"/>
            </w:r>
            <w:r w:rsidR="00FE0ADE">
              <w:rPr>
                <w:webHidden/>
              </w:rPr>
              <w:instrText xml:space="preserve"> PAGEREF _Toc117601136 \h </w:instrText>
            </w:r>
            <w:r w:rsidR="00FE0ADE">
              <w:rPr>
                <w:webHidden/>
              </w:rPr>
            </w:r>
            <w:r w:rsidR="00FE0ADE">
              <w:rPr>
                <w:webHidden/>
              </w:rPr>
              <w:fldChar w:fldCharType="separate"/>
            </w:r>
            <w:r w:rsidR="003E3FD2">
              <w:rPr>
                <w:webHidden/>
              </w:rPr>
              <w:t>19</w:t>
            </w:r>
            <w:r w:rsidR="00FE0ADE">
              <w:rPr>
                <w:webHidden/>
              </w:rPr>
              <w:fldChar w:fldCharType="end"/>
            </w:r>
          </w:hyperlink>
        </w:p>
        <w:p w14:paraId="393E32DB" w14:textId="15732F85" w:rsidR="00FE0ADE" w:rsidRDefault="00D145AC" w:rsidP="00FE0ADE">
          <w:pPr>
            <w:pStyle w:val="TOC1"/>
            <w:rPr>
              <w:rFonts w:asciiTheme="minorHAnsi" w:eastAsiaTheme="minorEastAsia" w:hAnsiTheme="minorHAnsi" w:cstheme="minorBidi"/>
              <w:szCs w:val="22"/>
            </w:rPr>
          </w:pPr>
          <w:hyperlink w:anchor="_Toc117601138" w:history="1">
            <w:r w:rsidR="00FE0ADE" w:rsidRPr="0091147F">
              <w:rPr>
                <w:rStyle w:val="Hyperlink"/>
              </w:rPr>
              <w:t>A17. Aansprakelijkheid van de opdrachtnemer</w:t>
            </w:r>
            <w:r w:rsidR="00FE0ADE">
              <w:rPr>
                <w:webHidden/>
              </w:rPr>
              <w:tab/>
            </w:r>
            <w:r w:rsidR="00FE0ADE">
              <w:rPr>
                <w:webHidden/>
              </w:rPr>
              <w:fldChar w:fldCharType="begin"/>
            </w:r>
            <w:r w:rsidR="00FE0ADE">
              <w:rPr>
                <w:webHidden/>
              </w:rPr>
              <w:instrText xml:space="preserve"> PAGEREF _Toc117601138 \h </w:instrText>
            </w:r>
            <w:r w:rsidR="00FE0ADE">
              <w:rPr>
                <w:webHidden/>
              </w:rPr>
            </w:r>
            <w:r w:rsidR="00FE0ADE">
              <w:rPr>
                <w:webHidden/>
              </w:rPr>
              <w:fldChar w:fldCharType="separate"/>
            </w:r>
            <w:r w:rsidR="003E3FD2">
              <w:rPr>
                <w:webHidden/>
              </w:rPr>
              <w:t>21</w:t>
            </w:r>
            <w:r w:rsidR="00FE0ADE">
              <w:rPr>
                <w:webHidden/>
              </w:rPr>
              <w:fldChar w:fldCharType="end"/>
            </w:r>
          </w:hyperlink>
        </w:p>
        <w:p w14:paraId="174C42C5" w14:textId="41E32C57" w:rsidR="00FE0ADE" w:rsidRDefault="00D145AC" w:rsidP="00FE0ADE">
          <w:pPr>
            <w:pStyle w:val="TOC1"/>
            <w:rPr>
              <w:rFonts w:asciiTheme="minorHAnsi" w:eastAsiaTheme="minorEastAsia" w:hAnsiTheme="minorHAnsi" w:cstheme="minorBidi"/>
              <w:szCs w:val="22"/>
            </w:rPr>
          </w:pPr>
          <w:hyperlink w:anchor="_Toc117601141" w:history="1">
            <w:r w:rsidR="00FE0ADE" w:rsidRPr="0091147F">
              <w:rPr>
                <w:rStyle w:val="Hyperlink"/>
              </w:rPr>
              <w:t>A18. Bescherming van persoonsgegevens en van de persoonlijke levenssfeer</w:t>
            </w:r>
            <w:r w:rsidR="00FE0ADE">
              <w:rPr>
                <w:webHidden/>
              </w:rPr>
              <w:tab/>
            </w:r>
            <w:r w:rsidR="00FE0ADE">
              <w:rPr>
                <w:webHidden/>
              </w:rPr>
              <w:fldChar w:fldCharType="begin"/>
            </w:r>
            <w:r w:rsidR="00FE0ADE">
              <w:rPr>
                <w:webHidden/>
              </w:rPr>
              <w:instrText xml:space="preserve"> PAGEREF _Toc117601141 \h </w:instrText>
            </w:r>
            <w:r w:rsidR="00FE0ADE">
              <w:rPr>
                <w:webHidden/>
              </w:rPr>
            </w:r>
            <w:r w:rsidR="00FE0ADE">
              <w:rPr>
                <w:webHidden/>
              </w:rPr>
              <w:fldChar w:fldCharType="separate"/>
            </w:r>
            <w:r w:rsidR="003E3FD2">
              <w:rPr>
                <w:webHidden/>
              </w:rPr>
              <w:t>21</w:t>
            </w:r>
            <w:r w:rsidR="00FE0ADE">
              <w:rPr>
                <w:webHidden/>
              </w:rPr>
              <w:fldChar w:fldCharType="end"/>
            </w:r>
          </w:hyperlink>
        </w:p>
        <w:p w14:paraId="63AA33CA" w14:textId="0F144C7D" w:rsidR="00FE0ADE" w:rsidRDefault="00D145AC" w:rsidP="00FE0ADE">
          <w:pPr>
            <w:pStyle w:val="TOC1"/>
            <w:rPr>
              <w:rFonts w:asciiTheme="minorHAnsi" w:eastAsiaTheme="minorEastAsia" w:hAnsiTheme="minorHAnsi" w:cstheme="minorBidi"/>
              <w:szCs w:val="22"/>
            </w:rPr>
          </w:pPr>
          <w:hyperlink w:anchor="_Toc117601142" w:history="1">
            <w:r w:rsidR="00FE0ADE" w:rsidRPr="0091147F">
              <w:rPr>
                <w:rStyle w:val="Hyperlink"/>
              </w:rPr>
              <w:t>A19. Geschillen</w:t>
            </w:r>
            <w:r w:rsidR="00FE0ADE">
              <w:rPr>
                <w:webHidden/>
              </w:rPr>
              <w:tab/>
            </w:r>
            <w:r w:rsidR="00FE0ADE">
              <w:rPr>
                <w:webHidden/>
              </w:rPr>
              <w:fldChar w:fldCharType="begin"/>
            </w:r>
            <w:r w:rsidR="00FE0ADE">
              <w:rPr>
                <w:webHidden/>
              </w:rPr>
              <w:instrText xml:space="preserve"> PAGEREF _Toc117601142 \h </w:instrText>
            </w:r>
            <w:r w:rsidR="00FE0ADE">
              <w:rPr>
                <w:webHidden/>
              </w:rPr>
            </w:r>
            <w:r w:rsidR="00FE0ADE">
              <w:rPr>
                <w:webHidden/>
              </w:rPr>
              <w:fldChar w:fldCharType="separate"/>
            </w:r>
            <w:r w:rsidR="003E3FD2">
              <w:rPr>
                <w:webHidden/>
              </w:rPr>
              <w:t>22</w:t>
            </w:r>
            <w:r w:rsidR="00FE0ADE">
              <w:rPr>
                <w:webHidden/>
              </w:rPr>
              <w:fldChar w:fldCharType="end"/>
            </w:r>
          </w:hyperlink>
        </w:p>
        <w:p w14:paraId="1391BD61" w14:textId="2A3552E4" w:rsidR="00FE0ADE" w:rsidRDefault="00D145AC" w:rsidP="00FE0ADE">
          <w:pPr>
            <w:pStyle w:val="TOC1"/>
            <w:rPr>
              <w:rFonts w:asciiTheme="minorHAnsi" w:eastAsiaTheme="minorEastAsia" w:hAnsiTheme="minorHAnsi" w:cstheme="minorBidi"/>
              <w:szCs w:val="22"/>
            </w:rPr>
          </w:pPr>
          <w:hyperlink w:anchor="_Toc117601143" w:history="1">
            <w:r w:rsidR="00FE0ADE" w:rsidRPr="0091147F">
              <w:rPr>
                <w:rStyle w:val="Hyperlink"/>
              </w:rPr>
              <w:t>B. TECHNISCHE VOORSCHRIFTEN</w:t>
            </w:r>
            <w:r w:rsidR="00FE0ADE">
              <w:rPr>
                <w:webHidden/>
              </w:rPr>
              <w:tab/>
            </w:r>
            <w:r w:rsidR="00FE0ADE">
              <w:rPr>
                <w:webHidden/>
              </w:rPr>
              <w:fldChar w:fldCharType="begin"/>
            </w:r>
            <w:r w:rsidR="00FE0ADE">
              <w:rPr>
                <w:webHidden/>
              </w:rPr>
              <w:instrText xml:space="preserve"> PAGEREF _Toc117601143 \h </w:instrText>
            </w:r>
            <w:r w:rsidR="00FE0ADE">
              <w:rPr>
                <w:webHidden/>
              </w:rPr>
            </w:r>
            <w:r w:rsidR="00FE0ADE">
              <w:rPr>
                <w:webHidden/>
              </w:rPr>
              <w:fldChar w:fldCharType="separate"/>
            </w:r>
            <w:r w:rsidR="003E3FD2">
              <w:rPr>
                <w:webHidden/>
              </w:rPr>
              <w:t>23</w:t>
            </w:r>
            <w:r w:rsidR="00FE0ADE">
              <w:rPr>
                <w:webHidden/>
              </w:rPr>
              <w:fldChar w:fldCharType="end"/>
            </w:r>
          </w:hyperlink>
        </w:p>
        <w:p w14:paraId="591AE26A" w14:textId="2585046F" w:rsidR="00FE0ADE" w:rsidRDefault="00D145AC" w:rsidP="00FE0ADE">
          <w:pPr>
            <w:pStyle w:val="TOC1"/>
            <w:rPr>
              <w:rFonts w:asciiTheme="minorHAnsi" w:eastAsiaTheme="minorEastAsia" w:hAnsiTheme="minorHAnsi" w:cstheme="minorBidi"/>
              <w:szCs w:val="22"/>
            </w:rPr>
          </w:pPr>
          <w:hyperlink w:anchor="_Toc117601144" w:history="1">
            <w:r w:rsidR="00FE0ADE" w:rsidRPr="0091147F">
              <w:rPr>
                <w:rStyle w:val="Hyperlink"/>
              </w:rPr>
              <w:t>B1. Inleiding</w:t>
            </w:r>
            <w:r w:rsidR="00FE0ADE">
              <w:rPr>
                <w:webHidden/>
              </w:rPr>
              <w:tab/>
            </w:r>
            <w:r w:rsidR="00FE0ADE">
              <w:rPr>
                <w:webHidden/>
              </w:rPr>
              <w:fldChar w:fldCharType="begin"/>
            </w:r>
            <w:r w:rsidR="00FE0ADE">
              <w:rPr>
                <w:webHidden/>
              </w:rPr>
              <w:instrText xml:space="preserve"> PAGEREF _Toc117601144 \h </w:instrText>
            </w:r>
            <w:r w:rsidR="00FE0ADE">
              <w:rPr>
                <w:webHidden/>
              </w:rPr>
            </w:r>
            <w:r w:rsidR="00FE0ADE">
              <w:rPr>
                <w:webHidden/>
              </w:rPr>
              <w:fldChar w:fldCharType="separate"/>
            </w:r>
            <w:r w:rsidR="003E3FD2">
              <w:rPr>
                <w:webHidden/>
              </w:rPr>
              <w:t>23</w:t>
            </w:r>
            <w:r w:rsidR="00FE0ADE">
              <w:rPr>
                <w:webHidden/>
              </w:rPr>
              <w:fldChar w:fldCharType="end"/>
            </w:r>
          </w:hyperlink>
        </w:p>
        <w:p w14:paraId="776CF4D7" w14:textId="75F50235" w:rsidR="00FE0ADE" w:rsidRDefault="00D145AC" w:rsidP="00FE0ADE">
          <w:pPr>
            <w:pStyle w:val="TOC1"/>
            <w:rPr>
              <w:rFonts w:asciiTheme="minorHAnsi" w:eastAsiaTheme="minorEastAsia" w:hAnsiTheme="minorHAnsi" w:cstheme="minorBidi"/>
              <w:szCs w:val="22"/>
            </w:rPr>
          </w:pPr>
          <w:hyperlink w:anchor="_Toc117601145" w:history="1">
            <w:r w:rsidR="00FE0ADE" w:rsidRPr="0091147F">
              <w:rPr>
                <w:rStyle w:val="Hyperlink"/>
                <w:lang w:val="en-US"/>
              </w:rPr>
              <w:t>B2. Institutionele context</w:t>
            </w:r>
            <w:r w:rsidR="00FE0ADE">
              <w:rPr>
                <w:webHidden/>
              </w:rPr>
              <w:tab/>
            </w:r>
            <w:r w:rsidR="00FE0ADE">
              <w:rPr>
                <w:webHidden/>
              </w:rPr>
              <w:fldChar w:fldCharType="begin"/>
            </w:r>
            <w:r w:rsidR="00FE0ADE">
              <w:rPr>
                <w:webHidden/>
              </w:rPr>
              <w:instrText xml:space="preserve"> PAGEREF _Toc117601145 \h </w:instrText>
            </w:r>
            <w:r w:rsidR="00FE0ADE">
              <w:rPr>
                <w:webHidden/>
              </w:rPr>
            </w:r>
            <w:r w:rsidR="00FE0ADE">
              <w:rPr>
                <w:webHidden/>
              </w:rPr>
              <w:fldChar w:fldCharType="separate"/>
            </w:r>
            <w:r w:rsidR="003E3FD2">
              <w:rPr>
                <w:webHidden/>
              </w:rPr>
              <w:t>23</w:t>
            </w:r>
            <w:r w:rsidR="00FE0ADE">
              <w:rPr>
                <w:webHidden/>
              </w:rPr>
              <w:fldChar w:fldCharType="end"/>
            </w:r>
          </w:hyperlink>
        </w:p>
        <w:p w14:paraId="3209ED6E" w14:textId="0CC868B3" w:rsidR="00FE0ADE" w:rsidRDefault="00D145AC" w:rsidP="00FE0ADE">
          <w:pPr>
            <w:pStyle w:val="TOC1"/>
            <w:rPr>
              <w:rFonts w:asciiTheme="minorHAnsi" w:eastAsiaTheme="minorEastAsia" w:hAnsiTheme="minorHAnsi" w:cstheme="minorBidi"/>
              <w:szCs w:val="22"/>
            </w:rPr>
          </w:pPr>
          <w:hyperlink w:anchor="_Toc117601149" w:history="1">
            <w:r w:rsidR="00FE0ADE" w:rsidRPr="0091147F">
              <w:rPr>
                <w:rStyle w:val="Hyperlink"/>
                <w:lang w:val="nl-NL"/>
              </w:rPr>
              <w:t>B3. Motieven</w:t>
            </w:r>
            <w:r w:rsidR="00FE0ADE">
              <w:rPr>
                <w:webHidden/>
              </w:rPr>
              <w:tab/>
            </w:r>
            <w:r w:rsidR="00FE0ADE">
              <w:rPr>
                <w:webHidden/>
              </w:rPr>
              <w:fldChar w:fldCharType="begin"/>
            </w:r>
            <w:r w:rsidR="00FE0ADE">
              <w:rPr>
                <w:webHidden/>
              </w:rPr>
              <w:instrText xml:space="preserve"> PAGEREF _Toc117601149 \h </w:instrText>
            </w:r>
            <w:r w:rsidR="00FE0ADE">
              <w:rPr>
                <w:webHidden/>
              </w:rPr>
            </w:r>
            <w:r w:rsidR="00FE0ADE">
              <w:rPr>
                <w:webHidden/>
              </w:rPr>
              <w:fldChar w:fldCharType="separate"/>
            </w:r>
            <w:r w:rsidR="003E3FD2">
              <w:rPr>
                <w:webHidden/>
              </w:rPr>
              <w:t>26</w:t>
            </w:r>
            <w:r w:rsidR="00FE0ADE">
              <w:rPr>
                <w:webHidden/>
              </w:rPr>
              <w:fldChar w:fldCharType="end"/>
            </w:r>
          </w:hyperlink>
        </w:p>
        <w:p w14:paraId="41E67086" w14:textId="6EEB80BA" w:rsidR="00FE0ADE" w:rsidRDefault="00D145AC" w:rsidP="00FE0ADE">
          <w:pPr>
            <w:pStyle w:val="TOC1"/>
            <w:rPr>
              <w:rFonts w:asciiTheme="minorHAnsi" w:eastAsiaTheme="minorEastAsia" w:hAnsiTheme="minorHAnsi" w:cstheme="minorBidi"/>
              <w:szCs w:val="22"/>
            </w:rPr>
          </w:pPr>
          <w:hyperlink w:anchor="_Toc117601150" w:history="1">
            <w:r w:rsidR="00FE0ADE" w:rsidRPr="0091147F">
              <w:rPr>
                <w:rStyle w:val="Hyperlink"/>
              </w:rPr>
              <w:t>B4. Doelstelling en verwachte resultaten</w:t>
            </w:r>
            <w:r w:rsidR="00FE0ADE">
              <w:rPr>
                <w:webHidden/>
              </w:rPr>
              <w:tab/>
            </w:r>
            <w:r w:rsidR="00FE0ADE">
              <w:rPr>
                <w:webHidden/>
              </w:rPr>
              <w:fldChar w:fldCharType="begin"/>
            </w:r>
            <w:r w:rsidR="00FE0ADE">
              <w:rPr>
                <w:webHidden/>
              </w:rPr>
              <w:instrText xml:space="preserve"> PAGEREF _Toc117601150 \h </w:instrText>
            </w:r>
            <w:r w:rsidR="00FE0ADE">
              <w:rPr>
                <w:webHidden/>
              </w:rPr>
            </w:r>
            <w:r w:rsidR="00FE0ADE">
              <w:rPr>
                <w:webHidden/>
              </w:rPr>
              <w:fldChar w:fldCharType="separate"/>
            </w:r>
            <w:r w:rsidR="003E3FD2">
              <w:rPr>
                <w:webHidden/>
              </w:rPr>
              <w:t>26</w:t>
            </w:r>
            <w:r w:rsidR="00FE0ADE">
              <w:rPr>
                <w:webHidden/>
              </w:rPr>
              <w:fldChar w:fldCharType="end"/>
            </w:r>
          </w:hyperlink>
        </w:p>
        <w:p w14:paraId="610FC244" w14:textId="7DE9C7A8" w:rsidR="00FE0ADE" w:rsidRDefault="00D145AC" w:rsidP="00FE0ADE">
          <w:pPr>
            <w:pStyle w:val="TOC1"/>
            <w:rPr>
              <w:rFonts w:asciiTheme="minorHAnsi" w:eastAsiaTheme="minorEastAsia" w:hAnsiTheme="minorHAnsi" w:cstheme="minorBidi"/>
              <w:szCs w:val="22"/>
            </w:rPr>
          </w:pPr>
          <w:hyperlink w:anchor="_Toc117601153" w:history="1">
            <w:r w:rsidR="00FE0ADE" w:rsidRPr="0091147F">
              <w:rPr>
                <w:rStyle w:val="Hyperlink"/>
              </w:rPr>
              <w:t>B5. Scope en staal</w:t>
            </w:r>
            <w:r w:rsidR="00FE0ADE">
              <w:rPr>
                <w:webHidden/>
              </w:rPr>
              <w:tab/>
            </w:r>
            <w:r w:rsidR="00FE0ADE">
              <w:rPr>
                <w:webHidden/>
              </w:rPr>
              <w:fldChar w:fldCharType="begin"/>
            </w:r>
            <w:r w:rsidR="00FE0ADE">
              <w:rPr>
                <w:webHidden/>
              </w:rPr>
              <w:instrText xml:space="preserve"> PAGEREF _Toc117601153 \h </w:instrText>
            </w:r>
            <w:r w:rsidR="00FE0ADE">
              <w:rPr>
                <w:webHidden/>
              </w:rPr>
            </w:r>
            <w:r w:rsidR="00FE0ADE">
              <w:rPr>
                <w:webHidden/>
              </w:rPr>
              <w:fldChar w:fldCharType="separate"/>
            </w:r>
            <w:r w:rsidR="003E3FD2">
              <w:rPr>
                <w:webHidden/>
              </w:rPr>
              <w:t>27</w:t>
            </w:r>
            <w:r w:rsidR="00FE0ADE">
              <w:rPr>
                <w:webHidden/>
              </w:rPr>
              <w:fldChar w:fldCharType="end"/>
            </w:r>
          </w:hyperlink>
        </w:p>
        <w:p w14:paraId="50B8ADD1" w14:textId="0FEF4969" w:rsidR="00FE0ADE" w:rsidRDefault="00D145AC" w:rsidP="00FE0ADE">
          <w:pPr>
            <w:pStyle w:val="TOC1"/>
            <w:rPr>
              <w:rFonts w:asciiTheme="minorHAnsi" w:eastAsiaTheme="minorEastAsia" w:hAnsiTheme="minorHAnsi" w:cstheme="minorBidi"/>
              <w:szCs w:val="22"/>
            </w:rPr>
          </w:pPr>
          <w:hyperlink w:anchor="_Toc117601156" w:history="1">
            <w:r w:rsidR="00FE0ADE" w:rsidRPr="0091147F">
              <w:rPr>
                <w:rStyle w:val="Hyperlink"/>
              </w:rPr>
              <w:t>B6. Evaluatievragen</w:t>
            </w:r>
            <w:r w:rsidR="00FE0ADE">
              <w:rPr>
                <w:webHidden/>
              </w:rPr>
              <w:tab/>
            </w:r>
            <w:r w:rsidR="00FE0ADE">
              <w:rPr>
                <w:webHidden/>
              </w:rPr>
              <w:fldChar w:fldCharType="begin"/>
            </w:r>
            <w:r w:rsidR="00FE0ADE">
              <w:rPr>
                <w:webHidden/>
              </w:rPr>
              <w:instrText xml:space="preserve"> PAGEREF _Toc117601156 \h </w:instrText>
            </w:r>
            <w:r w:rsidR="00FE0ADE">
              <w:rPr>
                <w:webHidden/>
              </w:rPr>
            </w:r>
            <w:r w:rsidR="00FE0ADE">
              <w:rPr>
                <w:webHidden/>
              </w:rPr>
              <w:fldChar w:fldCharType="separate"/>
            </w:r>
            <w:r w:rsidR="003E3FD2">
              <w:rPr>
                <w:webHidden/>
              </w:rPr>
              <w:t>28</w:t>
            </w:r>
            <w:r w:rsidR="00FE0ADE">
              <w:rPr>
                <w:webHidden/>
              </w:rPr>
              <w:fldChar w:fldCharType="end"/>
            </w:r>
          </w:hyperlink>
        </w:p>
        <w:p w14:paraId="67BA85B5" w14:textId="532AC1BB" w:rsidR="00FE0ADE" w:rsidRDefault="00D145AC" w:rsidP="00FE0ADE">
          <w:pPr>
            <w:pStyle w:val="TOC1"/>
            <w:rPr>
              <w:rFonts w:asciiTheme="minorHAnsi" w:eastAsiaTheme="minorEastAsia" w:hAnsiTheme="minorHAnsi" w:cstheme="minorBidi"/>
              <w:szCs w:val="22"/>
            </w:rPr>
          </w:pPr>
          <w:hyperlink w:anchor="_Toc117601159" w:history="1">
            <w:r w:rsidR="00FE0ADE" w:rsidRPr="0091147F">
              <w:rPr>
                <w:rStyle w:val="Hyperlink"/>
              </w:rPr>
              <w:t>B7. Aanpak en verloop</w:t>
            </w:r>
            <w:r w:rsidR="00FE0ADE">
              <w:rPr>
                <w:webHidden/>
              </w:rPr>
              <w:tab/>
            </w:r>
            <w:r w:rsidR="00FE0ADE">
              <w:rPr>
                <w:webHidden/>
              </w:rPr>
              <w:fldChar w:fldCharType="begin"/>
            </w:r>
            <w:r w:rsidR="00FE0ADE">
              <w:rPr>
                <w:webHidden/>
              </w:rPr>
              <w:instrText xml:space="preserve"> PAGEREF _Toc117601159 \h </w:instrText>
            </w:r>
            <w:r w:rsidR="00FE0ADE">
              <w:rPr>
                <w:webHidden/>
              </w:rPr>
            </w:r>
            <w:r w:rsidR="00FE0ADE">
              <w:rPr>
                <w:webHidden/>
              </w:rPr>
              <w:fldChar w:fldCharType="separate"/>
            </w:r>
            <w:r w:rsidR="003E3FD2">
              <w:rPr>
                <w:webHidden/>
              </w:rPr>
              <w:t>30</w:t>
            </w:r>
            <w:r w:rsidR="00FE0ADE">
              <w:rPr>
                <w:webHidden/>
              </w:rPr>
              <w:fldChar w:fldCharType="end"/>
            </w:r>
          </w:hyperlink>
        </w:p>
        <w:p w14:paraId="58B07C5A" w14:textId="663A68F4" w:rsidR="00FE0ADE" w:rsidRDefault="00D145AC" w:rsidP="00FE0ADE">
          <w:pPr>
            <w:pStyle w:val="TOC1"/>
            <w:rPr>
              <w:rFonts w:asciiTheme="minorHAnsi" w:eastAsiaTheme="minorEastAsia" w:hAnsiTheme="minorHAnsi" w:cstheme="minorBidi"/>
              <w:szCs w:val="22"/>
            </w:rPr>
          </w:pPr>
          <w:hyperlink w:anchor="_Toc117601165" w:history="1">
            <w:r w:rsidR="00FE0ADE" w:rsidRPr="0091147F">
              <w:rPr>
                <w:rStyle w:val="Hyperlink"/>
              </w:rPr>
              <w:t>B8. Timing</w:t>
            </w:r>
            <w:r w:rsidR="00FE0ADE">
              <w:rPr>
                <w:webHidden/>
              </w:rPr>
              <w:tab/>
            </w:r>
            <w:r w:rsidR="00FE0ADE">
              <w:rPr>
                <w:webHidden/>
              </w:rPr>
              <w:fldChar w:fldCharType="begin"/>
            </w:r>
            <w:r w:rsidR="00FE0ADE">
              <w:rPr>
                <w:webHidden/>
              </w:rPr>
              <w:instrText xml:space="preserve"> PAGEREF _Toc117601165 \h </w:instrText>
            </w:r>
            <w:r w:rsidR="00FE0ADE">
              <w:rPr>
                <w:webHidden/>
              </w:rPr>
            </w:r>
            <w:r w:rsidR="00FE0ADE">
              <w:rPr>
                <w:webHidden/>
              </w:rPr>
              <w:fldChar w:fldCharType="separate"/>
            </w:r>
            <w:r w:rsidR="003E3FD2">
              <w:rPr>
                <w:webHidden/>
              </w:rPr>
              <w:t>32</w:t>
            </w:r>
            <w:r w:rsidR="00FE0ADE">
              <w:rPr>
                <w:webHidden/>
              </w:rPr>
              <w:fldChar w:fldCharType="end"/>
            </w:r>
          </w:hyperlink>
        </w:p>
        <w:p w14:paraId="059F79EA" w14:textId="4F0A6C7B" w:rsidR="00FE0ADE" w:rsidRDefault="00D145AC" w:rsidP="00FE0ADE">
          <w:pPr>
            <w:pStyle w:val="TOC1"/>
            <w:rPr>
              <w:rFonts w:asciiTheme="minorHAnsi" w:eastAsiaTheme="minorEastAsia" w:hAnsiTheme="minorHAnsi" w:cstheme="minorBidi"/>
              <w:szCs w:val="22"/>
            </w:rPr>
          </w:pPr>
          <w:hyperlink w:anchor="_Toc117601166" w:history="1">
            <w:r w:rsidR="00FE0ADE" w:rsidRPr="0091147F">
              <w:rPr>
                <w:rStyle w:val="Hyperlink"/>
              </w:rPr>
              <w:t>B9. Rollen en verantwoordelijkheden van het evaluatieteam</w:t>
            </w:r>
            <w:r w:rsidR="00FE0ADE">
              <w:rPr>
                <w:webHidden/>
              </w:rPr>
              <w:tab/>
            </w:r>
            <w:r w:rsidR="00FE0ADE">
              <w:rPr>
                <w:webHidden/>
              </w:rPr>
              <w:fldChar w:fldCharType="begin"/>
            </w:r>
            <w:r w:rsidR="00FE0ADE">
              <w:rPr>
                <w:webHidden/>
              </w:rPr>
              <w:instrText xml:space="preserve"> PAGEREF _Toc117601166 \h </w:instrText>
            </w:r>
            <w:r w:rsidR="00FE0ADE">
              <w:rPr>
                <w:webHidden/>
              </w:rPr>
            </w:r>
            <w:r w:rsidR="00FE0ADE">
              <w:rPr>
                <w:webHidden/>
              </w:rPr>
              <w:fldChar w:fldCharType="separate"/>
            </w:r>
            <w:r w:rsidR="003E3FD2">
              <w:rPr>
                <w:webHidden/>
              </w:rPr>
              <w:t>32</w:t>
            </w:r>
            <w:r w:rsidR="00FE0ADE">
              <w:rPr>
                <w:webHidden/>
              </w:rPr>
              <w:fldChar w:fldCharType="end"/>
            </w:r>
          </w:hyperlink>
        </w:p>
        <w:p w14:paraId="1D066BA7" w14:textId="7018AED7" w:rsidR="00FE0ADE" w:rsidRDefault="00D145AC" w:rsidP="00FE0ADE">
          <w:pPr>
            <w:pStyle w:val="TOC1"/>
            <w:rPr>
              <w:rFonts w:asciiTheme="minorHAnsi" w:eastAsiaTheme="minorEastAsia" w:hAnsiTheme="minorHAnsi" w:cstheme="minorBidi"/>
              <w:szCs w:val="22"/>
            </w:rPr>
          </w:pPr>
          <w:hyperlink w:anchor="_Toc117601171" w:history="1">
            <w:r w:rsidR="00FE0ADE" w:rsidRPr="0091147F">
              <w:rPr>
                <w:rStyle w:val="Hyperlink"/>
              </w:rPr>
              <w:t>B10. Beheer van de evaluatie</w:t>
            </w:r>
            <w:r w:rsidR="00FE0ADE">
              <w:rPr>
                <w:webHidden/>
              </w:rPr>
              <w:tab/>
            </w:r>
            <w:r w:rsidR="00FE0ADE">
              <w:rPr>
                <w:webHidden/>
              </w:rPr>
              <w:fldChar w:fldCharType="begin"/>
            </w:r>
            <w:r w:rsidR="00FE0ADE">
              <w:rPr>
                <w:webHidden/>
              </w:rPr>
              <w:instrText xml:space="preserve"> PAGEREF _Toc117601171 \h </w:instrText>
            </w:r>
            <w:r w:rsidR="00FE0ADE">
              <w:rPr>
                <w:webHidden/>
              </w:rPr>
            </w:r>
            <w:r w:rsidR="00FE0ADE">
              <w:rPr>
                <w:webHidden/>
              </w:rPr>
              <w:fldChar w:fldCharType="separate"/>
            </w:r>
            <w:r w:rsidR="003E3FD2">
              <w:rPr>
                <w:webHidden/>
              </w:rPr>
              <w:t>33</w:t>
            </w:r>
            <w:r w:rsidR="00FE0ADE">
              <w:rPr>
                <w:webHidden/>
              </w:rPr>
              <w:fldChar w:fldCharType="end"/>
            </w:r>
          </w:hyperlink>
        </w:p>
        <w:p w14:paraId="59D94454" w14:textId="3B62646A" w:rsidR="00FE0ADE" w:rsidRDefault="00D145AC" w:rsidP="00FE0ADE">
          <w:pPr>
            <w:pStyle w:val="TOC1"/>
            <w:rPr>
              <w:rFonts w:asciiTheme="minorHAnsi" w:eastAsiaTheme="minorEastAsia" w:hAnsiTheme="minorHAnsi" w:cstheme="minorBidi"/>
              <w:szCs w:val="22"/>
            </w:rPr>
          </w:pPr>
          <w:hyperlink w:anchor="_Toc117601175" w:history="1">
            <w:r w:rsidR="00FE0ADE" w:rsidRPr="0091147F">
              <w:rPr>
                <w:rStyle w:val="Hyperlink"/>
              </w:rPr>
              <w:t>B11. Formaat en talen</w:t>
            </w:r>
            <w:r w:rsidR="00FE0ADE">
              <w:rPr>
                <w:webHidden/>
              </w:rPr>
              <w:tab/>
            </w:r>
            <w:r w:rsidR="00FE0ADE">
              <w:rPr>
                <w:webHidden/>
              </w:rPr>
              <w:fldChar w:fldCharType="begin"/>
            </w:r>
            <w:r w:rsidR="00FE0ADE">
              <w:rPr>
                <w:webHidden/>
              </w:rPr>
              <w:instrText xml:space="preserve"> PAGEREF _Toc117601175 \h </w:instrText>
            </w:r>
            <w:r w:rsidR="00FE0ADE">
              <w:rPr>
                <w:webHidden/>
              </w:rPr>
            </w:r>
            <w:r w:rsidR="00FE0ADE">
              <w:rPr>
                <w:webHidden/>
              </w:rPr>
              <w:fldChar w:fldCharType="separate"/>
            </w:r>
            <w:r w:rsidR="003E3FD2">
              <w:rPr>
                <w:webHidden/>
              </w:rPr>
              <w:t>33</w:t>
            </w:r>
            <w:r w:rsidR="00FE0ADE">
              <w:rPr>
                <w:webHidden/>
              </w:rPr>
              <w:fldChar w:fldCharType="end"/>
            </w:r>
          </w:hyperlink>
        </w:p>
        <w:p w14:paraId="32EDE5AC" w14:textId="178A0363" w:rsidR="00FE0ADE" w:rsidRDefault="00D145AC" w:rsidP="00FE0ADE">
          <w:pPr>
            <w:pStyle w:val="TOC1"/>
            <w:rPr>
              <w:rFonts w:asciiTheme="minorHAnsi" w:eastAsiaTheme="minorEastAsia" w:hAnsiTheme="minorHAnsi" w:cstheme="minorBidi"/>
              <w:szCs w:val="22"/>
            </w:rPr>
          </w:pPr>
          <w:hyperlink w:anchor="_Toc117601178" w:history="1">
            <w:r w:rsidR="00FE0ADE" w:rsidRPr="0091147F">
              <w:rPr>
                <w:rStyle w:val="Hyperlink"/>
              </w:rPr>
              <w:t>B12. Offertevereisten</w:t>
            </w:r>
            <w:r w:rsidR="00FE0ADE">
              <w:rPr>
                <w:webHidden/>
              </w:rPr>
              <w:tab/>
            </w:r>
            <w:r w:rsidR="00FE0ADE">
              <w:rPr>
                <w:webHidden/>
              </w:rPr>
              <w:fldChar w:fldCharType="begin"/>
            </w:r>
            <w:r w:rsidR="00FE0ADE">
              <w:rPr>
                <w:webHidden/>
              </w:rPr>
              <w:instrText xml:space="preserve"> PAGEREF _Toc117601178 \h </w:instrText>
            </w:r>
            <w:r w:rsidR="00FE0ADE">
              <w:rPr>
                <w:webHidden/>
              </w:rPr>
            </w:r>
            <w:r w:rsidR="00FE0ADE">
              <w:rPr>
                <w:webHidden/>
              </w:rPr>
              <w:fldChar w:fldCharType="separate"/>
            </w:r>
            <w:r w:rsidR="003E3FD2">
              <w:rPr>
                <w:webHidden/>
              </w:rPr>
              <w:t>34</w:t>
            </w:r>
            <w:r w:rsidR="00FE0ADE">
              <w:rPr>
                <w:webHidden/>
              </w:rPr>
              <w:fldChar w:fldCharType="end"/>
            </w:r>
          </w:hyperlink>
        </w:p>
        <w:p w14:paraId="52636844" w14:textId="2991837F" w:rsidR="00FE0ADE" w:rsidRDefault="00D145AC" w:rsidP="00FE0ADE">
          <w:pPr>
            <w:pStyle w:val="TOC1"/>
            <w:rPr>
              <w:rFonts w:asciiTheme="minorHAnsi" w:eastAsiaTheme="minorEastAsia" w:hAnsiTheme="minorHAnsi" w:cstheme="minorBidi"/>
              <w:szCs w:val="22"/>
            </w:rPr>
          </w:pPr>
          <w:hyperlink w:anchor="_Toc117601182" w:history="1">
            <w:r w:rsidR="00FE0ADE" w:rsidRPr="0091147F">
              <w:rPr>
                <w:rStyle w:val="Hyperlink"/>
              </w:rPr>
              <w:t>C. BIJLAGEN</w:t>
            </w:r>
            <w:r w:rsidR="00FE0ADE">
              <w:rPr>
                <w:webHidden/>
              </w:rPr>
              <w:tab/>
            </w:r>
            <w:r w:rsidR="00FE0ADE">
              <w:rPr>
                <w:webHidden/>
              </w:rPr>
              <w:fldChar w:fldCharType="begin"/>
            </w:r>
            <w:r w:rsidR="00FE0ADE">
              <w:rPr>
                <w:webHidden/>
              </w:rPr>
              <w:instrText xml:space="preserve"> PAGEREF _Toc117601182 \h </w:instrText>
            </w:r>
            <w:r w:rsidR="00FE0ADE">
              <w:rPr>
                <w:webHidden/>
              </w:rPr>
            </w:r>
            <w:r w:rsidR="00FE0ADE">
              <w:rPr>
                <w:webHidden/>
              </w:rPr>
              <w:fldChar w:fldCharType="separate"/>
            </w:r>
            <w:r w:rsidR="003E3FD2">
              <w:rPr>
                <w:webHidden/>
              </w:rPr>
              <w:t>36</w:t>
            </w:r>
            <w:r w:rsidR="00FE0ADE">
              <w:rPr>
                <w:webHidden/>
              </w:rPr>
              <w:fldChar w:fldCharType="end"/>
            </w:r>
          </w:hyperlink>
        </w:p>
        <w:p w14:paraId="4AA3D8D6" w14:textId="7D7A73A1" w:rsidR="00FE0ADE" w:rsidRDefault="00D145AC" w:rsidP="00FE0ADE">
          <w:pPr>
            <w:pStyle w:val="TOC1"/>
            <w:rPr>
              <w:rFonts w:asciiTheme="minorHAnsi" w:eastAsiaTheme="minorEastAsia" w:hAnsiTheme="minorHAnsi" w:cstheme="minorBidi"/>
              <w:szCs w:val="22"/>
            </w:rPr>
          </w:pPr>
          <w:hyperlink w:anchor="_Toc117601183" w:history="1">
            <w:r w:rsidR="00FE0ADE" w:rsidRPr="0091147F">
              <w:rPr>
                <w:rStyle w:val="Hyperlink"/>
              </w:rPr>
              <w:t xml:space="preserve">C1. Informatiefiche: </w:t>
            </w:r>
            <w:r w:rsidR="00FE0ADE" w:rsidRPr="0091147F">
              <w:rPr>
                <w:rStyle w:val="Hyperlink"/>
                <w:rFonts w:cs="Segoe UI"/>
                <w:shd w:val="clear" w:color="auto" w:fill="FFFFFF"/>
              </w:rPr>
              <w:t>technische en financiële offerte</w:t>
            </w:r>
            <w:r w:rsidR="00FE0ADE">
              <w:rPr>
                <w:webHidden/>
              </w:rPr>
              <w:tab/>
            </w:r>
            <w:r w:rsidR="00FE0ADE">
              <w:rPr>
                <w:webHidden/>
              </w:rPr>
              <w:fldChar w:fldCharType="begin"/>
            </w:r>
            <w:r w:rsidR="00FE0ADE">
              <w:rPr>
                <w:webHidden/>
              </w:rPr>
              <w:instrText xml:space="preserve"> PAGEREF _Toc117601183 \h </w:instrText>
            </w:r>
            <w:r w:rsidR="00FE0ADE">
              <w:rPr>
                <w:webHidden/>
              </w:rPr>
            </w:r>
            <w:r w:rsidR="00FE0ADE">
              <w:rPr>
                <w:webHidden/>
              </w:rPr>
              <w:fldChar w:fldCharType="separate"/>
            </w:r>
            <w:r w:rsidR="003E3FD2">
              <w:rPr>
                <w:webHidden/>
              </w:rPr>
              <w:t>36</w:t>
            </w:r>
            <w:r w:rsidR="00FE0ADE">
              <w:rPr>
                <w:webHidden/>
              </w:rPr>
              <w:fldChar w:fldCharType="end"/>
            </w:r>
          </w:hyperlink>
        </w:p>
        <w:p w14:paraId="69784158" w14:textId="32C88A8D" w:rsidR="00FE0ADE" w:rsidRDefault="00D145AC" w:rsidP="00FE0ADE">
          <w:pPr>
            <w:pStyle w:val="TOC1"/>
            <w:rPr>
              <w:rFonts w:asciiTheme="minorHAnsi" w:eastAsiaTheme="minorEastAsia" w:hAnsiTheme="minorHAnsi" w:cstheme="minorBidi"/>
              <w:szCs w:val="22"/>
            </w:rPr>
          </w:pPr>
          <w:hyperlink w:anchor="_Toc117601186" w:history="1">
            <w:r w:rsidR="00FE0ADE" w:rsidRPr="0091147F">
              <w:rPr>
                <w:rStyle w:val="Hyperlink"/>
              </w:rPr>
              <w:t>C2. OFFERTEFORMULIER</w:t>
            </w:r>
            <w:r w:rsidR="00FE0ADE">
              <w:rPr>
                <w:webHidden/>
              </w:rPr>
              <w:tab/>
            </w:r>
            <w:r w:rsidR="00FE0ADE">
              <w:rPr>
                <w:webHidden/>
              </w:rPr>
              <w:fldChar w:fldCharType="begin"/>
            </w:r>
            <w:r w:rsidR="00FE0ADE">
              <w:rPr>
                <w:webHidden/>
              </w:rPr>
              <w:instrText xml:space="preserve"> PAGEREF _Toc117601186 \h </w:instrText>
            </w:r>
            <w:r w:rsidR="00FE0ADE">
              <w:rPr>
                <w:webHidden/>
              </w:rPr>
            </w:r>
            <w:r w:rsidR="00FE0ADE">
              <w:rPr>
                <w:webHidden/>
              </w:rPr>
              <w:fldChar w:fldCharType="separate"/>
            </w:r>
            <w:r w:rsidR="003E3FD2">
              <w:rPr>
                <w:webHidden/>
              </w:rPr>
              <w:t>40</w:t>
            </w:r>
            <w:r w:rsidR="00FE0ADE">
              <w:rPr>
                <w:webHidden/>
              </w:rPr>
              <w:fldChar w:fldCharType="end"/>
            </w:r>
          </w:hyperlink>
        </w:p>
        <w:p w14:paraId="7E28C8EC" w14:textId="456FCA2D" w:rsidR="00B942FD" w:rsidRPr="00E0145E" w:rsidRDefault="00DC461A" w:rsidP="002E704D">
          <w:pPr>
            <w:jc w:val="both"/>
            <w:rPr>
              <w:b/>
              <w:bCs/>
              <w:noProof/>
            </w:rPr>
          </w:pPr>
          <w:r w:rsidRPr="79A775EF">
            <w:rPr>
              <w:b/>
              <w:bCs/>
              <w:noProof/>
            </w:rPr>
            <w:fldChar w:fldCharType="end"/>
          </w:r>
        </w:p>
      </w:sdtContent>
    </w:sdt>
    <w:p w14:paraId="306585E5" w14:textId="4A10087A" w:rsidR="79A775EF" w:rsidRDefault="79A775EF" w:rsidP="79A775EF">
      <w:pPr>
        <w:sectPr w:rsidR="79A775EF" w:rsidSect="004E29D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81"/>
        </w:sectPr>
      </w:pPr>
    </w:p>
    <w:tbl>
      <w:tblPr>
        <w:tblpPr w:leftFromText="141" w:rightFromText="141" w:vertAnchor="text" w:horzAnchor="margin" w:tblpY="23"/>
        <w:tblW w:w="9212" w:type="dxa"/>
        <w:tblLayout w:type="fixed"/>
        <w:tblCellMar>
          <w:left w:w="0" w:type="dxa"/>
          <w:right w:w="0" w:type="dxa"/>
        </w:tblCellMar>
        <w:tblLook w:val="0000" w:firstRow="0" w:lastRow="0" w:firstColumn="0" w:lastColumn="0" w:noHBand="0" w:noVBand="0"/>
      </w:tblPr>
      <w:tblGrid>
        <w:gridCol w:w="4323"/>
        <w:gridCol w:w="4889"/>
      </w:tblGrid>
      <w:tr w:rsidR="00F602F6" w:rsidRPr="005251B9" w14:paraId="49D48411" w14:textId="77777777">
        <w:trPr>
          <w:cantSplit/>
        </w:trPr>
        <w:tc>
          <w:tcPr>
            <w:tcW w:w="4323" w:type="dxa"/>
            <w:tcBorders>
              <w:top w:val="single" w:sz="12" w:space="0" w:color="000000"/>
              <w:left w:val="single" w:sz="12" w:space="0" w:color="000000"/>
              <w:bottom w:val="single" w:sz="12" w:space="0" w:color="000000"/>
              <w:right w:val="single" w:sz="12" w:space="0" w:color="000000"/>
            </w:tcBorders>
          </w:tcPr>
          <w:p w14:paraId="4E1148BA" w14:textId="77777777" w:rsidR="00F602F6" w:rsidRPr="00F602F6" w:rsidRDefault="00F602F6" w:rsidP="00F602F6">
            <w:pPr>
              <w:snapToGrid w:val="0"/>
              <w:spacing w:after="0" w:line="240" w:lineRule="auto"/>
              <w:rPr>
                <w:rFonts w:eastAsia="Times New Roman" w:cs="Calibri"/>
                <w:szCs w:val="22"/>
                <w:lang w:val="nl-NL"/>
              </w:rPr>
            </w:pPr>
            <w:bookmarkStart w:id="5" w:name="_Hlk101253842"/>
            <w:r w:rsidRPr="00F602F6">
              <w:rPr>
                <w:rFonts w:eastAsia="Times New Roman" w:cs="Calibri"/>
                <w:szCs w:val="22"/>
                <w:lang w:val="nl-NL"/>
              </w:rPr>
              <w:lastRenderedPageBreak/>
              <w:t xml:space="preserve">FOD Buitenlandse Zaken, Buitenlandse Handel en Ontwikkelingssamenwerking </w:t>
            </w:r>
            <w:r w:rsidRPr="00F602F6">
              <w:rPr>
                <w:rFonts w:eastAsia="Times New Roman" w:cs="Calibri"/>
                <w:szCs w:val="22"/>
                <w:lang w:val="nl-NL"/>
              </w:rPr>
              <w:br/>
              <w:t>Karmelietenstraat 15, 1000 Brussel</w:t>
            </w:r>
          </w:p>
          <w:p w14:paraId="081FE289" w14:textId="77777777" w:rsidR="00F602F6" w:rsidRPr="00F602F6" w:rsidRDefault="00F602F6" w:rsidP="00F602F6">
            <w:pPr>
              <w:snapToGrid w:val="0"/>
              <w:spacing w:after="0" w:line="240" w:lineRule="auto"/>
              <w:rPr>
                <w:rFonts w:eastAsia="Times New Roman" w:cs="Calibri"/>
                <w:szCs w:val="22"/>
                <w:lang w:val="nl-NL"/>
              </w:rPr>
            </w:pPr>
          </w:p>
          <w:p w14:paraId="4A4268E0" w14:textId="676FD073" w:rsidR="00F602F6" w:rsidRPr="00F602F6" w:rsidRDefault="00480694" w:rsidP="00F602F6">
            <w:pPr>
              <w:snapToGrid w:val="0"/>
              <w:spacing w:after="0" w:line="240" w:lineRule="auto"/>
              <w:rPr>
                <w:rFonts w:eastAsia="Times New Roman" w:cs="Calibri"/>
                <w:szCs w:val="22"/>
                <w:lang w:val="nl-NL"/>
              </w:rPr>
            </w:pPr>
            <w:r>
              <w:rPr>
                <w:rFonts w:eastAsia="Times New Roman" w:cs="Calibri"/>
                <w:szCs w:val="22"/>
                <w:lang w:val="nl-NL"/>
              </w:rPr>
              <w:t>Ivo Hooghe</w:t>
            </w:r>
          </w:p>
          <w:p w14:paraId="70BE41AC" w14:textId="09EF93E7" w:rsidR="00F602F6" w:rsidRPr="00F602F6" w:rsidRDefault="00F602F6" w:rsidP="00F602F6">
            <w:pPr>
              <w:snapToGrid w:val="0"/>
              <w:spacing w:after="0" w:line="240" w:lineRule="auto"/>
              <w:rPr>
                <w:rFonts w:eastAsia="Times New Roman" w:cs="Calibri"/>
                <w:szCs w:val="22"/>
                <w:lang w:val="nl-NL"/>
              </w:rPr>
            </w:pPr>
            <w:r w:rsidRPr="00F602F6">
              <w:rPr>
                <w:rFonts w:eastAsia="Times New Roman" w:cs="Calibri"/>
                <w:szCs w:val="22"/>
                <w:lang w:val="nl-NL"/>
              </w:rPr>
              <w:t xml:space="preserve">Tel: </w:t>
            </w:r>
            <w:r w:rsidR="00457341" w:rsidRPr="00457341">
              <w:rPr>
                <w:rFonts w:eastAsia="Times New Roman" w:cs="Calibri"/>
                <w:szCs w:val="22"/>
                <w:lang w:val="nl-NL"/>
              </w:rPr>
              <w:t>+32 (0)2 501 86 76</w:t>
            </w:r>
          </w:p>
          <w:p w14:paraId="4DEA5DB1" w14:textId="25C63FC8" w:rsidR="00F602F6" w:rsidRPr="00F602F6" w:rsidRDefault="00F602F6" w:rsidP="00F602F6">
            <w:pPr>
              <w:snapToGrid w:val="0"/>
              <w:spacing w:after="0" w:line="240" w:lineRule="auto"/>
              <w:rPr>
                <w:rFonts w:eastAsia="Times New Roman" w:cs="Times New Roman"/>
                <w:szCs w:val="22"/>
                <w:lang w:val="nl-NL" w:eastAsia="fr-FR"/>
              </w:rPr>
            </w:pPr>
            <w:r w:rsidRPr="00F602F6">
              <w:rPr>
                <w:rFonts w:eastAsia="Times New Roman" w:cs="Calibri"/>
                <w:szCs w:val="22"/>
                <w:lang w:val="nl-NL"/>
              </w:rPr>
              <w:t xml:space="preserve">Email: </w:t>
            </w:r>
            <w:r w:rsidR="00480694">
              <w:rPr>
                <w:rFonts w:eastAsia="Times New Roman" w:cs="Times New Roman"/>
                <w:szCs w:val="22"/>
                <w:lang w:val="nl-NL" w:eastAsia="fr-FR"/>
              </w:rPr>
              <w:t>ivo.hooghe</w:t>
            </w:r>
            <w:r w:rsidRPr="00F602F6">
              <w:rPr>
                <w:rFonts w:eastAsia="Times New Roman" w:cs="Times New Roman"/>
                <w:szCs w:val="22"/>
                <w:lang w:val="nl-NL" w:eastAsia="fr-FR"/>
              </w:rPr>
              <w:t>@diplobel.fed.be</w:t>
            </w:r>
          </w:p>
        </w:tc>
        <w:tc>
          <w:tcPr>
            <w:tcW w:w="4889" w:type="dxa"/>
          </w:tcPr>
          <w:p w14:paraId="33193308" w14:textId="77777777" w:rsidR="00F602F6" w:rsidRPr="00F602F6" w:rsidRDefault="00F602F6" w:rsidP="00F602F6">
            <w:pPr>
              <w:snapToGrid w:val="0"/>
              <w:spacing w:after="0" w:line="240" w:lineRule="auto"/>
              <w:jc w:val="right"/>
              <w:rPr>
                <w:rFonts w:eastAsia="Times New Roman" w:cs="Calibri"/>
                <w:szCs w:val="22"/>
                <w:lang w:val="nl-NL"/>
              </w:rPr>
            </w:pPr>
          </w:p>
          <w:p w14:paraId="68C78AAD" w14:textId="77777777" w:rsidR="00F602F6" w:rsidRPr="00F602F6" w:rsidRDefault="00F602F6" w:rsidP="00F602F6">
            <w:pPr>
              <w:snapToGrid w:val="0"/>
              <w:spacing w:after="0" w:line="240" w:lineRule="auto"/>
              <w:jc w:val="right"/>
              <w:rPr>
                <w:rFonts w:eastAsia="Times New Roman" w:cs="Calibri"/>
                <w:szCs w:val="22"/>
                <w:lang w:val="nl-NL"/>
              </w:rPr>
            </w:pPr>
          </w:p>
          <w:p w14:paraId="4A2007B5" w14:textId="77777777" w:rsidR="00F602F6" w:rsidRPr="00F602F6" w:rsidRDefault="00F602F6" w:rsidP="00F602F6">
            <w:pPr>
              <w:snapToGrid w:val="0"/>
              <w:spacing w:after="0" w:line="240" w:lineRule="auto"/>
              <w:jc w:val="right"/>
              <w:rPr>
                <w:rFonts w:eastAsia="Times New Roman" w:cs="Calibri"/>
                <w:szCs w:val="22"/>
                <w:lang w:val="nl-NL"/>
              </w:rPr>
            </w:pPr>
          </w:p>
        </w:tc>
      </w:tr>
    </w:tbl>
    <w:p w14:paraId="78DB6DCB" w14:textId="77777777" w:rsidR="00F602F6" w:rsidRPr="00F602F6"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lang w:val="nl-NL"/>
        </w:rPr>
      </w:pPr>
    </w:p>
    <w:p w14:paraId="150FFAFC" w14:textId="23EAA2BA" w:rsidR="00F602F6" w:rsidRPr="00F602F6" w:rsidRDefault="00F602F6" w:rsidP="79A775EF">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lang w:val="nl-NL"/>
        </w:rPr>
      </w:pPr>
      <w:r w:rsidRPr="79A775EF">
        <w:rPr>
          <w:rFonts w:eastAsia="Times New Roman" w:cs="Calibri"/>
          <w:lang w:val="nl-NL"/>
        </w:rPr>
        <w:t>BESTEK nr. S</w:t>
      </w:r>
      <w:r w:rsidR="0088211F" w:rsidRPr="79A775EF">
        <w:rPr>
          <w:rFonts w:eastAsia="Times New Roman" w:cs="Calibri"/>
          <w:lang w:val="nl-NL"/>
        </w:rPr>
        <w:t>2</w:t>
      </w:r>
      <w:r w:rsidRPr="79A775EF">
        <w:rPr>
          <w:rFonts w:eastAsia="Times New Roman" w:cs="Calibri"/>
          <w:lang w:val="nl-NL"/>
        </w:rPr>
        <w:t>/20</w:t>
      </w:r>
      <w:r w:rsidR="00480694" w:rsidRPr="79A775EF">
        <w:rPr>
          <w:rFonts w:eastAsia="Times New Roman" w:cs="Calibri"/>
          <w:lang w:val="nl-NL"/>
        </w:rPr>
        <w:t>22</w:t>
      </w:r>
      <w:r w:rsidRPr="79A775EF">
        <w:rPr>
          <w:rFonts w:eastAsia="Times New Roman" w:cs="Calibri"/>
          <w:lang w:val="nl-NL"/>
        </w:rPr>
        <w:t>/</w:t>
      </w:r>
      <w:r w:rsidR="00480694" w:rsidRPr="79A775EF">
        <w:rPr>
          <w:rFonts w:eastAsia="Times New Roman" w:cs="Calibri"/>
          <w:lang w:val="nl-NL"/>
        </w:rPr>
        <w:t>0</w:t>
      </w:r>
      <w:r w:rsidR="371472C9" w:rsidRPr="79A775EF">
        <w:rPr>
          <w:rFonts w:eastAsia="Times New Roman" w:cs="Calibri"/>
          <w:lang w:val="nl-NL"/>
        </w:rPr>
        <w:t>3</w:t>
      </w:r>
    </w:p>
    <w:p w14:paraId="211C614D" w14:textId="77777777" w:rsidR="00F602F6" w:rsidRPr="00F602F6"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b/>
          <w:szCs w:val="22"/>
          <w:lang w:val="nl-NL"/>
        </w:rPr>
      </w:pPr>
    </w:p>
    <w:p w14:paraId="58CD92F3" w14:textId="1B5906EF" w:rsidR="00F602F6" w:rsidRPr="00F602F6"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lang w:val="nl-NL"/>
        </w:rPr>
      </w:pPr>
      <w:r w:rsidRPr="00F602F6">
        <w:rPr>
          <w:rFonts w:eastAsia="Times New Roman" w:cs="Calibri"/>
          <w:szCs w:val="22"/>
          <w:lang w:val="nl-NL"/>
        </w:rPr>
        <w:t xml:space="preserve">OPENBARE PROCEDURE </w:t>
      </w:r>
      <w:r w:rsidRPr="00F602F6">
        <w:rPr>
          <w:rFonts w:eastAsia="Times New Roman" w:cs="Calibri"/>
          <w:szCs w:val="22"/>
          <w:lang w:val="nl-NL"/>
        </w:rPr>
        <w:br/>
        <w:t xml:space="preserve">VOOR DE EVALUATIE </w:t>
      </w:r>
      <w:r w:rsidRPr="008D4F43">
        <w:rPr>
          <w:rFonts w:eastAsia="Times New Roman" w:cs="Calibri"/>
          <w:szCs w:val="22"/>
          <w:lang w:val="nl-NL"/>
        </w:rPr>
        <w:t xml:space="preserve">VAN </w:t>
      </w:r>
      <w:r w:rsidR="00480694" w:rsidRPr="008D4F43">
        <w:rPr>
          <w:rFonts w:eastAsia="Times New Roman" w:cs="Calibri"/>
          <w:szCs w:val="22"/>
          <w:lang w:val="nl-NL"/>
        </w:rPr>
        <w:t>DE BELGISCHE FRAGILITEITSBENADERING</w:t>
      </w:r>
      <w:r w:rsidRPr="00F602F6">
        <w:rPr>
          <w:rFonts w:eastAsia="Times New Roman" w:cs="Calibri"/>
          <w:szCs w:val="22"/>
          <w:lang w:val="nl-NL"/>
        </w:rPr>
        <w:br/>
      </w:r>
    </w:p>
    <w:p w14:paraId="618B5528" w14:textId="18412652" w:rsidR="00F602F6" w:rsidRPr="00F602F6"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lang w:val="nl-NL"/>
        </w:rPr>
      </w:pPr>
      <w:r w:rsidRPr="00F602F6">
        <w:rPr>
          <w:rFonts w:eastAsia="Times New Roman" w:cs="Calibri"/>
          <w:szCs w:val="22"/>
          <w:lang w:val="nl-NL"/>
        </w:rPr>
        <w:t>VOOR REKENING VAN DE DIENST BIJZONDERE EVALUATIE VAN</w:t>
      </w:r>
      <w:r w:rsidR="00E96250">
        <w:rPr>
          <w:rFonts w:eastAsia="Times New Roman" w:cs="Calibri"/>
          <w:szCs w:val="22"/>
          <w:lang w:val="nl-NL"/>
        </w:rPr>
        <w:t xml:space="preserve"> DE BELGISCHE ONTWIKKELINGSAMENWERKING</w:t>
      </w:r>
      <w:r w:rsidR="00155572">
        <w:rPr>
          <w:rFonts w:eastAsia="Times New Roman" w:cs="Calibri"/>
          <w:szCs w:val="22"/>
          <w:lang w:val="nl-NL"/>
        </w:rPr>
        <w:t xml:space="preserve">, VAN </w:t>
      </w:r>
      <w:r w:rsidRPr="00F602F6">
        <w:rPr>
          <w:rFonts w:eastAsia="Times New Roman" w:cs="Calibri"/>
          <w:szCs w:val="22"/>
          <w:lang w:val="nl-NL"/>
        </w:rPr>
        <w:t xml:space="preserve">DE FOD BUITENLANDSE ZAKEN, BUITENLANDSE HANDEL EN ONTWIKKELINGSSAMENWERKING </w:t>
      </w:r>
    </w:p>
    <w:p w14:paraId="394EDA6A" w14:textId="77777777" w:rsidR="00F602F6" w:rsidRPr="00F602F6"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lang w:val="nl-NL"/>
        </w:rPr>
      </w:pPr>
    </w:p>
    <w:p w14:paraId="2788A9DA" w14:textId="77777777" w:rsidR="009875B8" w:rsidRPr="009875B8" w:rsidRDefault="009875B8" w:rsidP="009875B8">
      <w:pPr>
        <w:keepNext/>
        <w:keepLines/>
        <w:spacing w:before="600" w:after="120"/>
        <w:ind w:left="432" w:hanging="432"/>
        <w:jc w:val="left"/>
        <w:outlineLvl w:val="0"/>
        <w:rPr>
          <w:rFonts w:ascii="Lora" w:eastAsiaTheme="majorEastAsia" w:hAnsi="Lora" w:cstheme="majorBidi"/>
          <w:b/>
          <w:bCs/>
          <w:color w:val="3F4A53"/>
          <w:sz w:val="40"/>
          <w:szCs w:val="40"/>
          <w:lang w:val="nl-BE"/>
        </w:rPr>
      </w:pPr>
      <w:bookmarkStart w:id="6" w:name="_Toc77719392"/>
      <w:bookmarkStart w:id="7" w:name="_Toc108509925"/>
      <w:bookmarkStart w:id="8" w:name="_Toc117601090"/>
      <w:bookmarkStart w:id="9" w:name="_Toc12079526"/>
      <w:bookmarkStart w:id="10" w:name="_Toc12862722"/>
      <w:bookmarkStart w:id="11" w:name="_Toc19591181"/>
      <w:bookmarkStart w:id="12" w:name="_Toc232304295"/>
      <w:bookmarkStart w:id="13" w:name="_Toc347134721"/>
      <w:bookmarkStart w:id="14" w:name="_Toc486524193"/>
      <w:bookmarkStart w:id="15" w:name="_Toc487533655"/>
      <w:bookmarkStart w:id="16" w:name="_Toc12453026"/>
      <w:bookmarkEnd w:id="5"/>
      <w:r w:rsidRPr="009875B8">
        <w:rPr>
          <w:rFonts w:ascii="Lora" w:eastAsiaTheme="majorEastAsia" w:hAnsi="Lora" w:cstheme="majorBidi"/>
          <w:b/>
          <w:bCs/>
          <w:color w:val="3F4A53"/>
          <w:sz w:val="40"/>
          <w:szCs w:val="40"/>
          <w:lang w:val="nl-BE"/>
        </w:rPr>
        <w:t>A. ALGEMENE BEPALINGEN</w:t>
      </w:r>
      <w:bookmarkEnd w:id="6"/>
      <w:bookmarkEnd w:id="7"/>
      <w:bookmarkEnd w:id="8"/>
    </w:p>
    <w:p w14:paraId="40E8C877" w14:textId="77777777" w:rsidR="009875B8" w:rsidRPr="009875B8" w:rsidRDefault="009875B8" w:rsidP="004962DA">
      <w:pPr>
        <w:pStyle w:val="Vade-mecumtitre1"/>
        <w:numPr>
          <w:ilvl w:val="0"/>
          <w:numId w:val="0"/>
        </w:numPr>
      </w:pPr>
      <w:bookmarkStart w:id="17" w:name="_Toc77719393"/>
      <w:bookmarkStart w:id="18" w:name="_Toc108509926"/>
      <w:bookmarkStart w:id="19" w:name="_Toc117601091"/>
      <w:r w:rsidRPr="009875B8">
        <w:t>A1. Voorwerp en aard van de opdracht</w:t>
      </w:r>
      <w:bookmarkEnd w:id="17"/>
      <w:bookmarkEnd w:id="18"/>
      <w:bookmarkEnd w:id="19"/>
    </w:p>
    <w:bookmarkEnd w:id="9"/>
    <w:bookmarkEnd w:id="10"/>
    <w:bookmarkEnd w:id="11"/>
    <w:bookmarkEnd w:id="12"/>
    <w:bookmarkEnd w:id="13"/>
    <w:bookmarkEnd w:id="14"/>
    <w:bookmarkEnd w:id="15"/>
    <w:bookmarkEnd w:id="16"/>
    <w:p w14:paraId="3D5F66E1" w14:textId="3DE88605" w:rsidR="009875B8" w:rsidRPr="009875B8" w:rsidRDefault="009875B8" w:rsidP="004962DA">
      <w:pPr>
        <w:snapToGrid w:val="0"/>
        <w:spacing w:after="120" w:line="240" w:lineRule="auto"/>
        <w:jc w:val="both"/>
        <w:rPr>
          <w:rFonts w:cstheme="minorHAnsi"/>
          <w:szCs w:val="22"/>
          <w:highlight w:val="yellow"/>
          <w:u w:val="single"/>
          <w:lang w:val="nl-NL"/>
        </w:rPr>
      </w:pPr>
      <w:r w:rsidRPr="009875B8">
        <w:rPr>
          <w:rFonts w:cstheme="minorHAnsi"/>
          <w:szCs w:val="22"/>
          <w:lang w:val="nl-NL"/>
        </w:rPr>
        <w:t xml:space="preserve">De onderhavige opdracht betreft </w:t>
      </w:r>
      <w:r w:rsidRPr="008D4F43">
        <w:rPr>
          <w:rFonts w:cstheme="minorHAnsi"/>
          <w:szCs w:val="22"/>
          <w:lang w:val="nl-NL"/>
        </w:rPr>
        <w:t xml:space="preserve">de evaluatie </w:t>
      </w:r>
      <w:r w:rsidR="00457341" w:rsidRPr="008D4F43">
        <w:rPr>
          <w:rFonts w:cstheme="minorHAnsi"/>
          <w:szCs w:val="22"/>
          <w:lang w:val="nl-NL"/>
        </w:rPr>
        <w:t>van de Belgische fragiliteitsbenadering</w:t>
      </w:r>
      <w:r w:rsidRPr="008D4F43">
        <w:rPr>
          <w:rFonts w:cstheme="minorHAnsi"/>
          <w:szCs w:val="22"/>
          <w:lang w:val="nl-NL"/>
        </w:rPr>
        <w:t>.</w:t>
      </w:r>
    </w:p>
    <w:p w14:paraId="0FFAA3ED" w14:textId="2C77E14F" w:rsidR="009875B8" w:rsidRPr="009875B8" w:rsidRDefault="009875B8" w:rsidP="004962DA">
      <w:pPr>
        <w:snapToGrid w:val="0"/>
        <w:spacing w:after="120" w:line="240" w:lineRule="auto"/>
        <w:jc w:val="both"/>
        <w:rPr>
          <w:rFonts w:cstheme="minorHAnsi"/>
          <w:szCs w:val="22"/>
          <w:lang w:val="nl-NL"/>
        </w:rPr>
      </w:pPr>
      <w:r w:rsidRPr="009875B8">
        <w:rPr>
          <w:rFonts w:cstheme="minorHAnsi"/>
          <w:szCs w:val="22"/>
          <w:lang w:val="nl-NL"/>
        </w:rPr>
        <w:t>De aanbestedende overheid kiest voor</w:t>
      </w:r>
      <w:r>
        <w:rPr>
          <w:rFonts w:cstheme="minorHAnsi"/>
          <w:szCs w:val="22"/>
          <w:lang w:val="nl-NL"/>
        </w:rPr>
        <w:t xml:space="preserve"> de openbare procedure. </w:t>
      </w:r>
      <w:r w:rsidRPr="009875B8">
        <w:rPr>
          <w:rFonts w:cstheme="minorHAnsi"/>
          <w:szCs w:val="22"/>
          <w:lang w:val="nl-NL"/>
        </w:rPr>
        <w:t xml:space="preserve"> </w:t>
      </w:r>
    </w:p>
    <w:p w14:paraId="1D6F7AF0" w14:textId="77777777" w:rsidR="009875B8" w:rsidRPr="00457341" w:rsidRDefault="009875B8" w:rsidP="004962DA">
      <w:pPr>
        <w:snapToGrid w:val="0"/>
        <w:spacing w:after="120" w:line="240" w:lineRule="auto"/>
        <w:jc w:val="both"/>
        <w:rPr>
          <w:rFonts w:cstheme="minorHAnsi"/>
          <w:szCs w:val="22"/>
          <w:lang w:val="nl-NL"/>
        </w:rPr>
      </w:pPr>
      <w:r w:rsidRPr="009875B8">
        <w:rPr>
          <w:rFonts w:cstheme="minorHAnsi"/>
          <w:szCs w:val="22"/>
          <w:lang w:val="nl-NL"/>
        </w:rPr>
        <w:t xml:space="preserve">Deze </w:t>
      </w:r>
      <w:r w:rsidRPr="00457341">
        <w:rPr>
          <w:rFonts w:cstheme="minorHAnsi"/>
          <w:szCs w:val="22"/>
          <w:lang w:val="nl-NL"/>
        </w:rPr>
        <w:t>opdracht omvat slechts één perceel.</w:t>
      </w:r>
      <w:r w:rsidRPr="00457341" w:rsidDel="00E74093">
        <w:rPr>
          <w:rFonts w:cstheme="minorHAnsi"/>
          <w:szCs w:val="22"/>
          <w:lang w:val="nl-NL"/>
        </w:rPr>
        <w:t xml:space="preserve"> </w:t>
      </w:r>
    </w:p>
    <w:p w14:paraId="58CC19BC" w14:textId="77777777" w:rsidR="009875B8" w:rsidRPr="009875B8" w:rsidRDefault="009875B8" w:rsidP="004962DA">
      <w:pPr>
        <w:snapToGrid w:val="0"/>
        <w:spacing w:after="120" w:line="240" w:lineRule="auto"/>
        <w:jc w:val="both"/>
        <w:rPr>
          <w:rFonts w:cstheme="minorHAnsi"/>
          <w:szCs w:val="22"/>
          <w:lang w:val="nl-NL"/>
        </w:rPr>
      </w:pPr>
      <w:r w:rsidRPr="00457341">
        <w:rPr>
          <w:rFonts w:cstheme="minorHAnsi"/>
          <w:szCs w:val="22"/>
          <w:lang w:val="nl-NL"/>
        </w:rPr>
        <w:t>Dit is een opdracht tegen globale prijs (K.B. 18 april 2017, art. 2, 3°).</w:t>
      </w:r>
    </w:p>
    <w:p w14:paraId="29042541" w14:textId="77777777" w:rsidR="009875B8" w:rsidRPr="009875B8" w:rsidRDefault="009875B8" w:rsidP="004962DA">
      <w:pPr>
        <w:pStyle w:val="Vade-mecumtitre1"/>
        <w:numPr>
          <w:ilvl w:val="0"/>
          <w:numId w:val="0"/>
        </w:numPr>
        <w:ind w:left="432" w:hanging="432"/>
      </w:pPr>
      <w:bookmarkStart w:id="20" w:name="_Toc232305905"/>
      <w:bookmarkStart w:id="21" w:name="_Toc19591183"/>
      <w:bookmarkStart w:id="22" w:name="_Toc12862724"/>
      <w:bookmarkStart w:id="23" w:name="_Toc12079528"/>
      <w:bookmarkStart w:id="24" w:name="_Toc230733"/>
      <w:bookmarkStart w:id="25" w:name="_Toc230679"/>
      <w:bookmarkStart w:id="26" w:name="_Toc529747435"/>
      <w:bookmarkStart w:id="27" w:name="_Toc529700579"/>
      <w:bookmarkStart w:id="28" w:name="_Toc529699963"/>
      <w:bookmarkStart w:id="29" w:name="_Toc347134723"/>
      <w:bookmarkStart w:id="30" w:name="_Toc486524195"/>
      <w:bookmarkStart w:id="31" w:name="_Toc487533657"/>
      <w:bookmarkStart w:id="32" w:name="_Toc12453028"/>
      <w:bookmarkStart w:id="33" w:name="_Toc77719394"/>
      <w:bookmarkStart w:id="34" w:name="_Toc108509927"/>
      <w:bookmarkStart w:id="35" w:name="_Toc117601092"/>
      <w:r w:rsidRPr="009875B8">
        <w:t>A2. Duur van de overeenkomst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4D57D59" w14:textId="0B3FE85E" w:rsidR="001D140D" w:rsidRDefault="001D140D" w:rsidP="79A775EF">
      <w:pPr>
        <w:snapToGrid w:val="0"/>
        <w:spacing w:after="120" w:line="240" w:lineRule="auto"/>
        <w:jc w:val="both"/>
        <w:rPr>
          <w:lang w:val="nl-NL"/>
        </w:rPr>
      </w:pPr>
      <w:bookmarkStart w:id="36" w:name="_Hlk5864578"/>
      <w:r w:rsidRPr="79A775EF">
        <w:rPr>
          <w:lang w:val="nl-NL"/>
        </w:rPr>
        <w:t xml:space="preserve">De opdracht begint op de derde werkdag die volgt op de datum van verzending van de kennisgeving van de sluiting van de opdracht en wordt afgesloten voor een periode van </w:t>
      </w:r>
      <w:r w:rsidRPr="001851D2">
        <w:rPr>
          <w:lang w:val="nl-NL"/>
        </w:rPr>
        <w:t>1</w:t>
      </w:r>
      <w:r w:rsidR="54A159BB" w:rsidRPr="001851D2">
        <w:rPr>
          <w:lang w:val="nl-NL"/>
        </w:rPr>
        <w:t>2</w:t>
      </w:r>
      <w:r w:rsidRPr="001851D2">
        <w:rPr>
          <w:lang w:val="nl-NL"/>
        </w:rPr>
        <w:t xml:space="preserve"> maanden. Een verlenging van de opdracht is niet voorzien. De uitvoering van de diensten voorzien in het onderhavig bestek moet</w:t>
      </w:r>
      <w:r w:rsidR="00A97DA4">
        <w:rPr>
          <w:lang w:val="nl-NL"/>
        </w:rPr>
        <w:t xml:space="preserve"> </w:t>
      </w:r>
      <w:r w:rsidRPr="001851D2">
        <w:rPr>
          <w:lang w:val="nl-NL"/>
        </w:rPr>
        <w:t xml:space="preserve">worden beëindigd binnen de voorziene termijn, in overeenstemming met punt </w:t>
      </w:r>
      <w:r w:rsidR="00AE2F2A" w:rsidRPr="001851D2">
        <w:rPr>
          <w:lang w:val="nl-NL"/>
        </w:rPr>
        <w:t>A</w:t>
      </w:r>
      <w:r w:rsidR="6ABD777B" w:rsidRPr="001851D2">
        <w:rPr>
          <w:lang w:val="nl-NL"/>
        </w:rPr>
        <w:t>14</w:t>
      </w:r>
      <w:r w:rsidRPr="001851D2">
        <w:rPr>
          <w:lang w:val="nl-NL"/>
        </w:rPr>
        <w:t>.</w:t>
      </w:r>
    </w:p>
    <w:p w14:paraId="27558998" w14:textId="77777777" w:rsidR="009875B8" w:rsidRPr="009875B8" w:rsidRDefault="009875B8" w:rsidP="004962DA">
      <w:pPr>
        <w:pStyle w:val="Vade-mecumtitre1"/>
        <w:numPr>
          <w:ilvl w:val="0"/>
          <w:numId w:val="0"/>
        </w:numPr>
        <w:ind w:left="432" w:hanging="432"/>
      </w:pPr>
      <w:bookmarkStart w:id="37" w:name="_Toc529699964"/>
      <w:bookmarkStart w:id="38" w:name="_Toc529700580"/>
      <w:bookmarkStart w:id="39" w:name="_Toc529747436"/>
      <w:bookmarkStart w:id="40" w:name="_Toc230680"/>
      <w:bookmarkStart w:id="41" w:name="_Toc230734"/>
      <w:bookmarkStart w:id="42" w:name="_Toc12079529"/>
      <w:bookmarkStart w:id="43" w:name="_Toc12862725"/>
      <w:bookmarkStart w:id="44" w:name="_Toc19591184"/>
      <w:bookmarkStart w:id="45" w:name="_Toc232304298"/>
      <w:bookmarkStart w:id="46" w:name="_Toc347134724"/>
      <w:bookmarkStart w:id="47" w:name="_Toc486524196"/>
      <w:bookmarkStart w:id="48" w:name="_Toc487533658"/>
      <w:bookmarkStart w:id="49" w:name="_Toc12453029"/>
      <w:bookmarkStart w:id="50" w:name="_Toc77719395"/>
      <w:bookmarkStart w:id="51" w:name="_Toc108509928"/>
      <w:bookmarkStart w:id="52" w:name="_Toc117601093"/>
      <w:bookmarkEnd w:id="36"/>
      <w:r w:rsidRPr="009875B8">
        <w:t>A3. Aanbestedende overheid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78C66A9" w14:textId="08724D05" w:rsidR="009875B8" w:rsidRDefault="009875B8" w:rsidP="009875B8">
      <w:pPr>
        <w:snapToGrid w:val="0"/>
        <w:spacing w:after="120" w:line="240" w:lineRule="auto"/>
        <w:jc w:val="both"/>
        <w:rPr>
          <w:rFonts w:cstheme="minorHAnsi"/>
          <w:szCs w:val="22"/>
          <w:lang w:val="nl-NL"/>
        </w:rPr>
      </w:pPr>
      <w:bookmarkStart w:id="53" w:name="_Toc44837553"/>
      <w:bookmarkStart w:id="54" w:name="_Toc44838136"/>
      <w:bookmarkStart w:id="55" w:name="_Toc486513959"/>
      <w:bookmarkStart w:id="56" w:name="_Toc486524197"/>
      <w:bookmarkStart w:id="57" w:name="_Toc487533659"/>
      <w:r w:rsidRPr="009875B8">
        <w:rPr>
          <w:rFonts w:cstheme="minorHAnsi"/>
          <w:szCs w:val="22"/>
          <w:lang w:val="nl-NL"/>
        </w:rPr>
        <w:t>De aanbestedende overheid is de FOD Buitenlandse Zaken, Buitenlandse Handel en Ontwikkelingssamenwerking, vertegenwoordigd door de:</w:t>
      </w:r>
    </w:p>
    <w:p w14:paraId="24017031" w14:textId="6639C431" w:rsidR="005101A5" w:rsidRDefault="005101A5" w:rsidP="009875B8">
      <w:pPr>
        <w:snapToGrid w:val="0"/>
        <w:spacing w:after="120" w:line="240" w:lineRule="auto"/>
        <w:jc w:val="both"/>
        <w:rPr>
          <w:rFonts w:cstheme="minorHAnsi"/>
          <w:szCs w:val="22"/>
          <w:lang w:val="nl-NL"/>
        </w:rPr>
      </w:pPr>
    </w:p>
    <w:p w14:paraId="51287513" w14:textId="77777777" w:rsidR="005101A5" w:rsidRPr="009875B8" w:rsidRDefault="005101A5" w:rsidP="009875B8">
      <w:pPr>
        <w:snapToGrid w:val="0"/>
        <w:spacing w:after="120" w:line="240" w:lineRule="auto"/>
        <w:jc w:val="both"/>
        <w:rPr>
          <w:rFonts w:cstheme="minorHAnsi"/>
          <w:szCs w:val="22"/>
          <w:lang w:val="nl-NL"/>
        </w:rPr>
      </w:pPr>
    </w:p>
    <w:p w14:paraId="004B1E17" w14:textId="77777777" w:rsidR="009875B8" w:rsidRPr="009875B8" w:rsidRDefault="009875B8" w:rsidP="009875B8">
      <w:pPr>
        <w:snapToGrid w:val="0"/>
        <w:spacing w:line="240" w:lineRule="auto"/>
        <w:jc w:val="left"/>
        <w:rPr>
          <w:rFonts w:cstheme="minorHAnsi"/>
          <w:szCs w:val="22"/>
          <w:lang w:val="nl-NL"/>
        </w:rPr>
      </w:pPr>
      <w:r w:rsidRPr="009875B8">
        <w:rPr>
          <w:rFonts w:cstheme="minorHAnsi"/>
          <w:szCs w:val="22"/>
          <w:lang w:val="nl-NL"/>
        </w:rPr>
        <w:lastRenderedPageBreak/>
        <w:t>Dienst Bijzondere Evaluatie van de Belgische Ontwikkelingssamenwerking (S2)</w:t>
      </w:r>
      <w:r w:rsidRPr="009875B8">
        <w:rPr>
          <w:rFonts w:cstheme="minorHAnsi"/>
          <w:szCs w:val="22"/>
          <w:lang w:val="nl-NL"/>
        </w:rPr>
        <w:br/>
        <w:t>Karmelietenstraat 15</w:t>
      </w:r>
      <w:r w:rsidRPr="009875B8">
        <w:rPr>
          <w:rFonts w:cstheme="minorHAnsi"/>
          <w:szCs w:val="22"/>
          <w:lang w:val="nl-NL"/>
        </w:rPr>
        <w:br/>
        <w:t>B-1000 Brussel</w:t>
      </w:r>
      <w:r w:rsidRPr="009875B8">
        <w:rPr>
          <w:rFonts w:cstheme="minorHAnsi"/>
          <w:szCs w:val="22"/>
          <w:lang w:val="nl-NL"/>
        </w:rPr>
        <w:br/>
        <w:t>België</w:t>
      </w:r>
    </w:p>
    <w:p w14:paraId="5CCE10C6" w14:textId="7515A8DF" w:rsidR="009875B8" w:rsidRPr="009875B8" w:rsidRDefault="00457341" w:rsidP="009875B8">
      <w:pPr>
        <w:snapToGrid w:val="0"/>
        <w:spacing w:line="240" w:lineRule="auto"/>
        <w:jc w:val="left"/>
        <w:rPr>
          <w:rFonts w:cstheme="minorHAnsi"/>
          <w:szCs w:val="22"/>
          <w:lang w:val="nl-NL"/>
        </w:rPr>
      </w:pPr>
      <w:r>
        <w:rPr>
          <w:rFonts w:cstheme="minorHAnsi"/>
          <w:szCs w:val="22"/>
          <w:lang w:val="nl-NL"/>
        </w:rPr>
        <w:t>Ivo Hooghe</w:t>
      </w:r>
      <w:r w:rsidR="009875B8" w:rsidRPr="009875B8">
        <w:rPr>
          <w:rFonts w:cstheme="minorHAnsi"/>
          <w:szCs w:val="22"/>
          <w:lang w:val="nl-NL"/>
        </w:rPr>
        <w:br/>
        <w:t xml:space="preserve">Tel: +32 (0)2 501 </w:t>
      </w:r>
      <w:r>
        <w:rPr>
          <w:rFonts w:cstheme="minorHAnsi"/>
          <w:szCs w:val="22"/>
          <w:lang w:val="nl-NL"/>
        </w:rPr>
        <w:t>86 76</w:t>
      </w:r>
      <w:r w:rsidR="009875B8" w:rsidRPr="009875B8">
        <w:rPr>
          <w:rFonts w:cstheme="minorHAnsi"/>
          <w:szCs w:val="22"/>
          <w:lang w:val="nl-NL"/>
        </w:rPr>
        <w:br/>
        <w:t xml:space="preserve">Email: </w:t>
      </w:r>
      <w:r>
        <w:rPr>
          <w:rFonts w:cs="Calibri"/>
          <w:color w:val="0000FF" w:themeColor="hyperlink"/>
          <w:szCs w:val="22"/>
          <w:u w:val="single"/>
          <w:lang w:val="nl-NL" w:eastAsia="nl-NL"/>
        </w:rPr>
        <w:t>ivo.hooghe</w:t>
      </w:r>
      <w:r w:rsidR="009875B8" w:rsidRPr="009875B8">
        <w:rPr>
          <w:rFonts w:cs="Calibri"/>
          <w:color w:val="0000FF" w:themeColor="hyperlink"/>
          <w:szCs w:val="22"/>
          <w:u w:val="single"/>
          <w:lang w:val="nl-NL" w:eastAsia="nl-NL"/>
        </w:rPr>
        <w:t>@diplobel.fed.be</w:t>
      </w:r>
    </w:p>
    <w:p w14:paraId="68667384" w14:textId="77777777" w:rsidR="009875B8" w:rsidRPr="009875B8" w:rsidRDefault="009875B8" w:rsidP="009875B8">
      <w:pPr>
        <w:snapToGrid w:val="0"/>
        <w:spacing w:after="120" w:line="240" w:lineRule="auto"/>
        <w:jc w:val="both"/>
        <w:rPr>
          <w:rFonts w:cstheme="minorHAnsi"/>
          <w:szCs w:val="22"/>
          <w:lang w:val="nl-NL"/>
        </w:rPr>
      </w:pPr>
      <w:r w:rsidRPr="009875B8">
        <w:rPr>
          <w:rFonts w:cstheme="minorHAnsi"/>
          <w:szCs w:val="22"/>
          <w:lang w:val="nl-NL"/>
        </w:rPr>
        <w:t>Zolang de aanbestedende overheid geen beslissing heeft genomen over, naargelang het geval, de selectie, de regelmatigheid van de offertes, de gunning van de opdracht of de beslissing om af te zien van de gunning of van de sluiting van de opdracht, hebben de inschrijvers of derden geen toegang tot de documenten betreffende de plaatsingsprocedure, met name de offertes en de interne documenten van de aanbestedende overheid.</w:t>
      </w:r>
    </w:p>
    <w:p w14:paraId="3D6A7348" w14:textId="12C55947" w:rsidR="009875B8" w:rsidRDefault="009875B8" w:rsidP="004962DA">
      <w:pPr>
        <w:pStyle w:val="Vade-mecumtitre1"/>
        <w:numPr>
          <w:ilvl w:val="0"/>
          <w:numId w:val="0"/>
        </w:numPr>
        <w:ind w:left="432" w:hanging="432"/>
      </w:pPr>
      <w:bookmarkStart w:id="58" w:name="_Toc12453030"/>
      <w:bookmarkStart w:id="59" w:name="_Toc77719396"/>
      <w:bookmarkStart w:id="60" w:name="_Toc108509929"/>
      <w:bookmarkStart w:id="61" w:name="_Toc117601094"/>
      <w:r w:rsidRPr="009875B8">
        <w:t xml:space="preserve">A4. </w:t>
      </w:r>
      <w:bookmarkEnd w:id="53"/>
      <w:bookmarkEnd w:id="54"/>
      <w:bookmarkEnd w:id="55"/>
      <w:bookmarkEnd w:id="56"/>
      <w:bookmarkEnd w:id="57"/>
      <w:bookmarkEnd w:id="58"/>
      <w:r w:rsidRPr="009875B8">
        <w:t>Bijkomende informatie</w:t>
      </w:r>
      <w:bookmarkEnd w:id="59"/>
      <w:bookmarkEnd w:id="60"/>
      <w:bookmarkEnd w:id="61"/>
    </w:p>
    <w:p w14:paraId="0CEB7F11" w14:textId="4FAB1874" w:rsidR="009429D5" w:rsidRDefault="009429D5">
      <w:pPr>
        <w:pStyle w:val="Vade-mecumtitre2"/>
      </w:pPr>
      <w:bookmarkStart w:id="62" w:name="_Toc113544436"/>
      <w:bookmarkStart w:id="63" w:name="_Toc114066738"/>
      <w:bookmarkStart w:id="64" w:name="_Toc115882617"/>
      <w:bookmarkStart w:id="65" w:name="_Toc117601095"/>
      <w:r>
        <w:t>A4.1 Informatiesessie</w:t>
      </w:r>
      <w:bookmarkEnd w:id="62"/>
      <w:bookmarkEnd w:id="63"/>
      <w:bookmarkEnd w:id="64"/>
      <w:bookmarkEnd w:id="65"/>
    </w:p>
    <w:p w14:paraId="7FF3634A" w14:textId="77777777" w:rsidR="009429D5" w:rsidRPr="009429D5" w:rsidRDefault="009429D5" w:rsidP="009429D5">
      <w:pPr>
        <w:spacing w:before="200" w:after="0" w:line="240" w:lineRule="auto"/>
        <w:jc w:val="both"/>
        <w:rPr>
          <w:rFonts w:eastAsia="Times New Roman" w:cs="Times New Roman"/>
          <w:szCs w:val="22"/>
          <w:lang w:val="nl-NL"/>
        </w:rPr>
      </w:pPr>
      <w:bookmarkStart w:id="66" w:name="_Toc529699965"/>
      <w:bookmarkStart w:id="67" w:name="_Toc529700581"/>
      <w:bookmarkStart w:id="68" w:name="_Toc529747437"/>
      <w:bookmarkStart w:id="69" w:name="_Toc230681"/>
      <w:bookmarkStart w:id="70" w:name="_Toc230735"/>
      <w:bookmarkStart w:id="71" w:name="_Toc12079530"/>
      <w:bookmarkStart w:id="72" w:name="_Toc12862726"/>
      <w:bookmarkStart w:id="73" w:name="_Toc19591185"/>
      <w:bookmarkStart w:id="74" w:name="_Toc232304300"/>
      <w:bookmarkStart w:id="75" w:name="_Toc347134726"/>
      <w:bookmarkStart w:id="76" w:name="_Toc486524200"/>
      <w:bookmarkStart w:id="77" w:name="_Toc487533662"/>
      <w:bookmarkStart w:id="78" w:name="_Toc12453033"/>
      <w:bookmarkStart w:id="79" w:name="_Toc77719397"/>
      <w:r w:rsidRPr="009429D5">
        <w:rPr>
          <w:rFonts w:eastAsia="Times New Roman" w:cs="Times New Roman"/>
          <w:szCs w:val="22"/>
          <w:lang w:val="nl-NL"/>
        </w:rPr>
        <w:t>Gelet op de complexiteit van de opdracht heeft de aanbestedende overheid beslist om een informatiesessie te organiseren met de potentiële inschrijvers. Deze laatste kunnen hun vragen stellen en deelnemen aan de informatiesessie. De informatiesessie zal plaats vinden tussen de datum van de publicatie van de aankondiging van de opdracht en de uiterste datum voor de indiening van de offertes.</w:t>
      </w:r>
    </w:p>
    <w:p w14:paraId="08DA7A35" w14:textId="08E91238" w:rsidR="009429D5" w:rsidRPr="009429D5" w:rsidRDefault="009429D5" w:rsidP="009429D5">
      <w:pPr>
        <w:spacing w:before="200" w:after="0" w:line="240" w:lineRule="auto"/>
        <w:jc w:val="both"/>
        <w:rPr>
          <w:rFonts w:eastAsia="Times New Roman" w:cs="Times New Roman"/>
          <w:szCs w:val="22"/>
          <w:lang w:val="nl-NL"/>
        </w:rPr>
      </w:pPr>
      <w:r w:rsidRPr="79A775EF">
        <w:rPr>
          <w:rFonts w:eastAsia="Times New Roman" w:cs="Times New Roman"/>
          <w:lang w:val="nl-NL"/>
        </w:rPr>
        <w:t>Deze informatiesessie zal doorgaan op</w:t>
      </w:r>
      <w:r w:rsidR="0D698512" w:rsidRPr="61A0463E">
        <w:rPr>
          <w:rFonts w:eastAsia="Times New Roman" w:cs="Times New Roman"/>
          <w:lang w:val="nl-NL"/>
        </w:rPr>
        <w:t xml:space="preserve"> </w:t>
      </w:r>
      <w:r w:rsidR="002B7D1F">
        <w:rPr>
          <w:rFonts w:eastAsia="Times New Roman" w:cs="Times New Roman"/>
          <w:lang w:val="nl-NL"/>
        </w:rPr>
        <w:t>20</w:t>
      </w:r>
      <w:r w:rsidR="00E76A7B">
        <w:rPr>
          <w:rFonts w:eastAsia="Times New Roman" w:cs="Times New Roman"/>
          <w:lang w:val="nl-NL"/>
        </w:rPr>
        <w:t xml:space="preserve"> december</w:t>
      </w:r>
      <w:r w:rsidR="00A509FA">
        <w:rPr>
          <w:rFonts w:eastAsia="Times New Roman" w:cs="Times New Roman"/>
          <w:lang w:val="nl-NL"/>
        </w:rPr>
        <w:t xml:space="preserve"> 2022</w:t>
      </w:r>
      <w:r w:rsidR="001851D2">
        <w:rPr>
          <w:rFonts w:eastAsia="Times New Roman" w:cs="Times New Roman"/>
          <w:lang w:val="nl-NL"/>
        </w:rPr>
        <w:t xml:space="preserve"> </w:t>
      </w:r>
      <w:r w:rsidRPr="79A775EF">
        <w:rPr>
          <w:rFonts w:eastAsia="Times New Roman" w:cs="Times New Roman"/>
          <w:lang w:val="nl-NL"/>
        </w:rPr>
        <w:fldChar w:fldCharType="begin">
          <w:ffData>
            <w:name w:val="Tekstvak17"/>
            <w:enabled/>
            <w:calcOnExit w:val="0"/>
            <w:textInput>
              <w:default w:val="&lt;datum&gt; "/>
            </w:textInput>
          </w:ffData>
        </w:fldChar>
      </w:r>
      <w:r w:rsidRPr="79A775EF">
        <w:rPr>
          <w:rFonts w:eastAsia="Times New Roman" w:cs="Times New Roman"/>
          <w:lang w:val="nl-NL"/>
        </w:rPr>
        <w:instrText xml:space="preserve"> FORMTEXT </w:instrText>
      </w:r>
      <w:r w:rsidR="00D145AC">
        <w:rPr>
          <w:rFonts w:eastAsia="Times New Roman" w:cs="Times New Roman"/>
          <w:lang w:val="nl-NL"/>
        </w:rPr>
      </w:r>
      <w:r w:rsidR="00D145AC">
        <w:rPr>
          <w:rFonts w:eastAsia="Times New Roman" w:cs="Times New Roman"/>
          <w:lang w:val="nl-NL"/>
        </w:rPr>
        <w:fldChar w:fldCharType="separate"/>
      </w:r>
      <w:r w:rsidRPr="79A775EF">
        <w:rPr>
          <w:rFonts w:eastAsia="Times New Roman" w:cs="Times New Roman"/>
          <w:lang w:val="nl-BE"/>
        </w:rPr>
        <w:fldChar w:fldCharType="end"/>
      </w:r>
      <w:r w:rsidRPr="79A775EF">
        <w:rPr>
          <w:rFonts w:eastAsia="Times New Roman" w:cs="Times New Roman"/>
          <w:lang w:val="nl-NL"/>
        </w:rPr>
        <w:t xml:space="preserve">om </w:t>
      </w:r>
      <w:r w:rsidRPr="79A775EF">
        <w:rPr>
          <w:rFonts w:eastAsia="Times New Roman" w:cs="Times New Roman"/>
          <w:lang w:val="nl-NL"/>
        </w:rPr>
        <w:fldChar w:fldCharType="begin">
          <w:ffData>
            <w:name w:val="Tekstvak18"/>
            <w:enabled/>
            <w:calcOnExit w:val="0"/>
            <w:textInput>
              <w:default w:val="&lt;uur&gt;"/>
            </w:textInput>
          </w:ffData>
        </w:fldChar>
      </w:r>
      <w:r w:rsidRPr="79A775EF">
        <w:rPr>
          <w:rFonts w:eastAsia="Times New Roman" w:cs="Times New Roman"/>
          <w:lang w:val="nl-NL"/>
        </w:rPr>
        <w:instrText xml:space="preserve"> FORMTEXT </w:instrText>
      </w:r>
      <w:r w:rsidR="00D145AC">
        <w:rPr>
          <w:rFonts w:eastAsia="Times New Roman" w:cs="Times New Roman"/>
          <w:lang w:val="nl-NL"/>
        </w:rPr>
      </w:r>
      <w:r w:rsidR="00D145AC">
        <w:rPr>
          <w:rFonts w:eastAsia="Times New Roman" w:cs="Times New Roman"/>
          <w:lang w:val="nl-NL"/>
        </w:rPr>
        <w:fldChar w:fldCharType="separate"/>
      </w:r>
      <w:r w:rsidRPr="79A775EF">
        <w:rPr>
          <w:rFonts w:eastAsia="Times New Roman" w:cs="Times New Roman"/>
          <w:lang w:val="nl-BE"/>
        </w:rPr>
        <w:fldChar w:fldCharType="end"/>
      </w:r>
      <w:r w:rsidR="0702EEAE" w:rsidRPr="61A0463E">
        <w:rPr>
          <w:rFonts w:eastAsia="Times New Roman" w:cs="Times New Roman"/>
          <w:lang w:val="nl-NL"/>
        </w:rPr>
        <w:t xml:space="preserve">11 u </w:t>
      </w:r>
      <w:r w:rsidRPr="79A775EF">
        <w:rPr>
          <w:rFonts w:eastAsia="Times New Roman" w:cs="Times New Roman"/>
          <w:lang w:val="nl-NL"/>
        </w:rPr>
        <w:fldChar w:fldCharType="begin">
          <w:ffData>
            <w:name w:val="Tekstvak19"/>
            <w:enabled/>
            <w:calcOnExit w:val="0"/>
            <w:textInput>
              <w:default w:val="&lt;adres + nummer vergaderzaal&gt;"/>
            </w:textInput>
          </w:ffData>
        </w:fldChar>
      </w:r>
      <w:r w:rsidRPr="79A775EF">
        <w:rPr>
          <w:rFonts w:eastAsia="Times New Roman" w:cs="Times New Roman"/>
          <w:lang w:val="nl-NL"/>
        </w:rPr>
        <w:instrText xml:space="preserve"> FORMTEXT </w:instrText>
      </w:r>
      <w:r w:rsidR="00D145AC">
        <w:rPr>
          <w:rFonts w:eastAsia="Times New Roman" w:cs="Times New Roman"/>
          <w:lang w:val="nl-NL"/>
        </w:rPr>
      </w:r>
      <w:r w:rsidR="00D145AC">
        <w:rPr>
          <w:rFonts w:eastAsia="Times New Roman" w:cs="Times New Roman"/>
          <w:lang w:val="nl-NL"/>
        </w:rPr>
        <w:fldChar w:fldCharType="separate"/>
      </w:r>
      <w:r w:rsidRPr="79A775EF">
        <w:rPr>
          <w:rFonts w:eastAsia="Times New Roman" w:cs="Times New Roman"/>
          <w:lang w:val="nl-BE"/>
        </w:rPr>
        <w:fldChar w:fldCharType="end"/>
      </w:r>
      <w:r w:rsidR="11EE0053" w:rsidRPr="61A0463E">
        <w:rPr>
          <w:rFonts w:eastAsia="Times New Roman" w:cs="Times New Roman"/>
          <w:lang w:val="nl-NL"/>
        </w:rPr>
        <w:t xml:space="preserve">via Teams. </w:t>
      </w:r>
      <w:r w:rsidR="11EE0053" w:rsidRPr="61A0463E">
        <w:rPr>
          <w:rFonts w:eastAsia="Roboto" w:cs="Roboto"/>
          <w:color w:val="000000" w:themeColor="text1"/>
          <w:lang w:val="nl-NL"/>
        </w:rPr>
        <w:t xml:space="preserve">De link zal doorgestuurd worden naar de personen die ingeschreven zijn tegen </w:t>
      </w:r>
      <w:r w:rsidR="00A509FA">
        <w:rPr>
          <w:rFonts w:eastAsia="Roboto" w:cs="Roboto"/>
          <w:color w:val="000000" w:themeColor="text1"/>
          <w:lang w:val="nl-NL"/>
        </w:rPr>
        <w:t>19</w:t>
      </w:r>
      <w:r w:rsidR="11EE0053" w:rsidRPr="61A0463E">
        <w:rPr>
          <w:rFonts w:eastAsia="Roboto" w:cs="Roboto"/>
          <w:color w:val="000000" w:themeColor="text1"/>
          <w:lang w:val="nl-NL"/>
        </w:rPr>
        <w:t xml:space="preserve"> </w:t>
      </w:r>
      <w:r w:rsidR="00DA6129">
        <w:rPr>
          <w:rFonts w:eastAsia="Roboto" w:cs="Roboto"/>
          <w:color w:val="000000" w:themeColor="text1"/>
          <w:lang w:val="nl-NL"/>
        </w:rPr>
        <w:t>december</w:t>
      </w:r>
      <w:r w:rsidR="00A509FA">
        <w:rPr>
          <w:rFonts w:eastAsia="Roboto" w:cs="Roboto"/>
          <w:color w:val="000000" w:themeColor="text1"/>
          <w:lang w:val="nl-NL"/>
        </w:rPr>
        <w:t xml:space="preserve"> 2022</w:t>
      </w:r>
      <w:r w:rsidR="11EE0053" w:rsidRPr="61A0463E">
        <w:rPr>
          <w:rFonts w:eastAsia="Roboto" w:cs="Roboto"/>
          <w:color w:val="000000" w:themeColor="text1"/>
          <w:lang w:val="nl-NL"/>
        </w:rPr>
        <w:t xml:space="preserve"> om 11u.</w:t>
      </w:r>
      <w:r w:rsidR="007100CA">
        <w:rPr>
          <w:rFonts w:eastAsia="Roboto" w:cs="Roboto"/>
          <w:color w:val="000000" w:themeColor="text1"/>
          <w:lang w:val="nl-NL"/>
        </w:rPr>
        <w:t xml:space="preserve"> </w:t>
      </w:r>
      <w:r w:rsidRPr="009429D5">
        <w:rPr>
          <w:rFonts w:eastAsia="Times New Roman" w:cs="Times New Roman"/>
          <w:szCs w:val="22"/>
          <w:lang w:val="nl-NL"/>
        </w:rPr>
        <w:t xml:space="preserve">Tijdens deze informatiesessie zal eerst een kort overzicht worden gegeven van het voorwerp van de opdracht. </w:t>
      </w:r>
    </w:p>
    <w:p w14:paraId="33F6F6FA" w14:textId="36E8480E" w:rsidR="007100CA" w:rsidRDefault="009429D5" w:rsidP="79A775EF">
      <w:pPr>
        <w:spacing w:before="200" w:after="0" w:line="240" w:lineRule="auto"/>
        <w:jc w:val="both"/>
        <w:rPr>
          <w:rFonts w:eastAsia="Times New Roman" w:cs="Times New Roman"/>
          <w:lang w:val="nl-NL"/>
        </w:rPr>
      </w:pPr>
      <w:r w:rsidRPr="79A775EF">
        <w:rPr>
          <w:rFonts w:eastAsia="Times New Roman" w:cs="Times New Roman"/>
          <w:lang w:val="nl-NL"/>
        </w:rPr>
        <w:t xml:space="preserve">Teneinde de informatiesessie ordentelijk te laten verlopen worden de potentiële inschrijvers die op de informatiesessie wensen aanwezig te zijn, verzocht om hun vragen aan de aanbestedende overheid uitsluitend via volgend e-mail te bezorgen </w:t>
      </w:r>
      <w:r w:rsidRPr="79A775EF">
        <w:rPr>
          <w:rFonts w:eastAsia="Times New Roman" w:cs="Times New Roman"/>
          <w:lang w:val="nl-NL"/>
        </w:rPr>
        <w:fldChar w:fldCharType="begin">
          <w:ffData>
            <w:name w:val="Tekstvak21"/>
            <w:enabled/>
            <w:calcOnExit w:val="0"/>
            <w:textInput>
              <w:default w:val="&lt;e-mailadres&gt;"/>
            </w:textInput>
          </w:ffData>
        </w:fldChar>
      </w:r>
      <w:r w:rsidRPr="79A775EF">
        <w:rPr>
          <w:rFonts w:eastAsia="Times New Roman" w:cs="Times New Roman"/>
          <w:lang w:val="nl-NL"/>
        </w:rPr>
        <w:instrText xml:space="preserve"> FORMTEXT </w:instrText>
      </w:r>
      <w:r w:rsidR="00D145AC">
        <w:rPr>
          <w:rFonts w:eastAsia="Times New Roman" w:cs="Times New Roman"/>
          <w:lang w:val="nl-NL"/>
        </w:rPr>
      </w:r>
      <w:r w:rsidR="00D145AC">
        <w:rPr>
          <w:rFonts w:eastAsia="Times New Roman" w:cs="Times New Roman"/>
          <w:lang w:val="nl-NL"/>
        </w:rPr>
        <w:fldChar w:fldCharType="separate"/>
      </w:r>
      <w:r w:rsidRPr="79A775EF">
        <w:rPr>
          <w:rFonts w:eastAsia="Times New Roman" w:cs="Times New Roman"/>
          <w:lang w:val="nl-BE"/>
        </w:rPr>
        <w:fldChar w:fldCharType="end"/>
      </w:r>
      <w:hyperlink r:id="rId24" w:history="1">
        <w:r w:rsidR="007100CA" w:rsidRPr="00372FED">
          <w:rPr>
            <w:rStyle w:val="Hyperlink"/>
            <w:rFonts w:eastAsia="Times New Roman" w:cs="Times New Roman"/>
            <w:lang w:val="nl-NL"/>
          </w:rPr>
          <w:t>Ivo.hooghe@diplobel.fed.be</w:t>
        </w:r>
      </w:hyperlink>
      <w:r w:rsidR="200056BB" w:rsidRPr="79A775EF">
        <w:rPr>
          <w:rFonts w:eastAsia="Times New Roman" w:cs="Times New Roman"/>
          <w:lang w:val="nl-NL"/>
        </w:rPr>
        <w:t>.</w:t>
      </w:r>
    </w:p>
    <w:p w14:paraId="408F0B7C" w14:textId="65A274A0" w:rsidR="009429D5" w:rsidRPr="009429D5" w:rsidRDefault="009429D5" w:rsidP="79A775EF">
      <w:pPr>
        <w:spacing w:before="200" w:after="0" w:line="240" w:lineRule="auto"/>
        <w:jc w:val="both"/>
        <w:rPr>
          <w:rFonts w:eastAsia="Times New Roman" w:cs="Times New Roman"/>
          <w:lang w:val="nl-NL"/>
        </w:rPr>
      </w:pPr>
      <w:r w:rsidRPr="79A775EF">
        <w:rPr>
          <w:rFonts w:eastAsia="Times New Roman" w:cs="Times New Roman"/>
          <w:lang w:val="nl-NL"/>
        </w:rPr>
        <w:t>Enkel de vragen die ten laatste op</w:t>
      </w:r>
      <w:r w:rsidR="01256E5D" w:rsidRPr="79A775EF">
        <w:rPr>
          <w:rFonts w:eastAsia="Times New Roman" w:cs="Times New Roman"/>
          <w:lang w:val="nl-NL"/>
        </w:rPr>
        <w:t xml:space="preserve"> </w:t>
      </w:r>
      <w:r w:rsidR="00A509FA">
        <w:rPr>
          <w:rFonts w:eastAsia="Times New Roman" w:cs="Times New Roman"/>
          <w:lang w:val="nl-NL"/>
        </w:rPr>
        <w:t>19</w:t>
      </w:r>
      <w:r w:rsidR="00DE56DE">
        <w:rPr>
          <w:rFonts w:eastAsia="Times New Roman" w:cs="Times New Roman"/>
          <w:lang w:val="nl-NL"/>
        </w:rPr>
        <w:t xml:space="preserve"> december</w:t>
      </w:r>
      <w:r w:rsidR="01256E5D" w:rsidRPr="79A775EF">
        <w:rPr>
          <w:rFonts w:eastAsia="Times New Roman" w:cs="Times New Roman"/>
          <w:lang w:val="nl-NL"/>
        </w:rPr>
        <w:t xml:space="preserve"> </w:t>
      </w:r>
      <w:r w:rsidR="00A509FA">
        <w:rPr>
          <w:rFonts w:eastAsia="Times New Roman" w:cs="Times New Roman"/>
          <w:lang w:val="nl-NL"/>
        </w:rPr>
        <w:t xml:space="preserve">2022 </w:t>
      </w:r>
      <w:r w:rsidR="01256E5D" w:rsidRPr="79A775EF">
        <w:rPr>
          <w:rFonts w:eastAsia="Times New Roman" w:cs="Times New Roman"/>
          <w:lang w:val="nl-NL"/>
        </w:rPr>
        <w:t>om 11 uur</w:t>
      </w:r>
      <w:r w:rsidRPr="79A775EF">
        <w:rPr>
          <w:rFonts w:eastAsia="Times New Roman" w:cs="Times New Roman"/>
          <w:lang w:val="nl-NL"/>
        </w:rPr>
        <w:t xml:space="preserve"> bij de aanbestedende overheid zijn toegekomen, zullen tijdens de informatiesessie worden beantwoord.</w:t>
      </w:r>
    </w:p>
    <w:p w14:paraId="4AB871C8" w14:textId="22DD3166" w:rsidR="009429D5" w:rsidRDefault="009429D5" w:rsidP="009429D5">
      <w:pPr>
        <w:spacing w:before="200" w:after="0" w:line="240" w:lineRule="auto"/>
        <w:jc w:val="both"/>
        <w:rPr>
          <w:rFonts w:eastAsia="Times New Roman" w:cs="Times New Roman"/>
          <w:szCs w:val="22"/>
          <w:lang w:val="nl-NL"/>
        </w:rPr>
      </w:pPr>
      <w:r w:rsidRPr="009429D5">
        <w:rPr>
          <w:rFonts w:eastAsia="Times New Roman" w:cs="Times New Roman"/>
          <w:szCs w:val="22"/>
          <w:lang w:val="nl-NL"/>
        </w:rPr>
        <w:t xml:space="preserve">Aan </w:t>
      </w:r>
      <w:r w:rsidR="008B426D">
        <w:rPr>
          <w:rFonts w:eastAsia="Times New Roman" w:cs="Times New Roman"/>
          <w:szCs w:val="22"/>
          <w:lang w:val="nl-NL"/>
        </w:rPr>
        <w:t xml:space="preserve">het begin van de sessie zullen </w:t>
      </w:r>
      <w:r w:rsidRPr="009429D5">
        <w:rPr>
          <w:rFonts w:eastAsia="Times New Roman" w:cs="Times New Roman"/>
          <w:szCs w:val="22"/>
          <w:lang w:val="nl-NL"/>
        </w:rPr>
        <w:t xml:space="preserve">de aanwezigen </w:t>
      </w:r>
      <w:r w:rsidR="008B426D">
        <w:rPr>
          <w:rFonts w:eastAsia="Times New Roman" w:cs="Times New Roman"/>
          <w:szCs w:val="22"/>
          <w:lang w:val="nl-NL"/>
        </w:rPr>
        <w:t xml:space="preserve">verzocht worden </w:t>
      </w:r>
      <w:r w:rsidRPr="009429D5">
        <w:rPr>
          <w:rFonts w:eastAsia="Times New Roman" w:cs="Times New Roman"/>
          <w:szCs w:val="22"/>
          <w:lang w:val="nl-NL"/>
        </w:rPr>
        <w:t>om de identiteit van hun onderneming die zij vertegenwoordigen te vermelden</w:t>
      </w:r>
      <w:r w:rsidR="008B426D">
        <w:rPr>
          <w:rFonts w:eastAsia="Times New Roman" w:cs="Times New Roman"/>
          <w:szCs w:val="22"/>
          <w:lang w:val="nl-NL"/>
        </w:rPr>
        <w:t>.</w:t>
      </w:r>
    </w:p>
    <w:p w14:paraId="20F1E86A" w14:textId="77777777" w:rsidR="009429D5" w:rsidRPr="009429D5" w:rsidRDefault="009429D5" w:rsidP="009429D5">
      <w:pPr>
        <w:spacing w:before="200" w:after="0" w:line="240" w:lineRule="auto"/>
        <w:jc w:val="both"/>
        <w:rPr>
          <w:rFonts w:eastAsia="Times New Roman" w:cs="Times New Roman"/>
          <w:szCs w:val="22"/>
          <w:lang w:val="nl-NL"/>
        </w:rPr>
      </w:pPr>
      <w:r w:rsidRPr="009429D5">
        <w:rPr>
          <w:rFonts w:eastAsia="Times New Roman" w:cs="Times New Roman"/>
          <w:szCs w:val="22"/>
          <w:lang w:val="nl-NL"/>
        </w:rPr>
        <w:t xml:space="preserve">Naderhand zal de aanbestedende overheid het proces-verbaal van de informatiesessie op de website </w:t>
      </w:r>
      <w:hyperlink r:id="rId25" w:history="1">
        <w:r w:rsidRPr="009429D5">
          <w:rPr>
            <w:rStyle w:val="Hyperlink"/>
            <w:rFonts w:eastAsia="Times New Roman" w:cs="Times New Roman"/>
            <w:szCs w:val="22"/>
            <w:lang w:val="nl-NL"/>
          </w:rPr>
          <w:t>https://enot.publicprocurement.be</w:t>
        </w:r>
      </w:hyperlink>
      <w:r w:rsidRPr="009429D5">
        <w:rPr>
          <w:rFonts w:eastAsia="Times New Roman" w:cs="Times New Roman"/>
          <w:szCs w:val="22"/>
          <w:lang w:val="nl-NL"/>
        </w:rPr>
        <w:t xml:space="preserve"> publiceren.</w:t>
      </w:r>
    </w:p>
    <w:p w14:paraId="3815C7A9" w14:textId="77777777" w:rsidR="003C20C0" w:rsidRPr="00D06D4B" w:rsidRDefault="003C20C0">
      <w:pPr>
        <w:pStyle w:val="Vade-mecumtitre2"/>
        <w:rPr>
          <w:highlight w:val="lightGray"/>
          <w:lang w:val="nl-NL"/>
        </w:rPr>
      </w:pPr>
      <w:bookmarkStart w:id="80" w:name="_Toc113544437"/>
      <w:bookmarkStart w:id="81" w:name="_Toc114066739"/>
      <w:bookmarkStart w:id="82" w:name="_Toc115882618"/>
    </w:p>
    <w:p w14:paraId="5C943BB0" w14:textId="48058BE6" w:rsidR="007100CA" w:rsidRPr="007100CA" w:rsidRDefault="007100CA" w:rsidP="007100CA">
      <w:pPr>
        <w:pStyle w:val="Vade-mecumtitre1"/>
        <w:numPr>
          <w:ilvl w:val="0"/>
          <w:numId w:val="0"/>
        </w:numPr>
        <w:rPr>
          <w:b w:val="0"/>
          <w:bCs w:val="0"/>
          <w:sz w:val="22"/>
          <w:szCs w:val="22"/>
        </w:rPr>
      </w:pPr>
      <w:bookmarkStart w:id="83" w:name="_Toc486870123"/>
      <w:bookmarkStart w:id="84" w:name="_Toc487190652"/>
      <w:bookmarkStart w:id="85" w:name="_Toc487533663"/>
      <w:bookmarkStart w:id="86" w:name="_Toc487533723"/>
      <w:bookmarkStart w:id="87" w:name="_Toc487533833"/>
      <w:bookmarkStart w:id="88" w:name="_Toc487533940"/>
      <w:bookmarkStart w:id="89" w:name="_Toc487533996"/>
      <w:bookmarkStart w:id="90" w:name="_Toc488142775"/>
      <w:bookmarkStart w:id="91" w:name="_Toc488315565"/>
      <w:bookmarkStart w:id="92" w:name="_Toc488315656"/>
      <w:bookmarkStart w:id="93" w:name="_Toc487533664"/>
      <w:bookmarkStart w:id="94" w:name="_Toc12453034"/>
      <w:bookmarkStart w:id="95" w:name="_Toc108509931"/>
      <w:bookmarkStart w:id="96" w:name="_Toc113544439"/>
      <w:bookmarkStart w:id="97" w:name="_Toc114066741"/>
      <w:bookmarkStart w:id="98" w:name="_Toc115882620"/>
      <w:bookmarkStart w:id="99" w:name="_Toc529699966"/>
      <w:bookmarkStart w:id="100" w:name="_Toc529700582"/>
      <w:bookmarkStart w:id="101" w:name="_Toc529747438"/>
      <w:bookmarkStart w:id="102" w:name="_Toc230682"/>
      <w:bookmarkStart w:id="103" w:name="_Toc230736"/>
      <w:bookmarkStart w:id="104" w:name="_Toc12079531"/>
      <w:bookmarkStart w:id="105" w:name="_Toc12862727"/>
      <w:bookmarkStart w:id="106" w:name="_Toc19591186"/>
      <w:bookmarkStart w:id="107" w:name="_Toc23230430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F147979" w14:textId="77777777" w:rsidR="007100CA" w:rsidRPr="007100CA" w:rsidRDefault="007100CA" w:rsidP="007100CA">
      <w:pPr>
        <w:pStyle w:val="Vade-Mecum0"/>
        <w:rPr>
          <w:lang w:val="nl-BE"/>
        </w:rPr>
      </w:pPr>
    </w:p>
    <w:p w14:paraId="095D7AD2" w14:textId="7C57449B" w:rsidR="007100CA" w:rsidRDefault="007100CA" w:rsidP="007100CA">
      <w:pPr>
        <w:pStyle w:val="Vade-mecumtitre1"/>
        <w:numPr>
          <w:ilvl w:val="0"/>
          <w:numId w:val="0"/>
        </w:numPr>
        <w:ind w:left="432" w:hanging="432"/>
      </w:pPr>
      <w:bookmarkStart w:id="108" w:name="_Toc117601096"/>
      <w:r>
        <w:lastRenderedPageBreak/>
        <w:t>A5. Indiening van de offertes</w:t>
      </w:r>
      <w:bookmarkEnd w:id="108"/>
    </w:p>
    <w:p w14:paraId="3ABAA3D7" w14:textId="082187A5" w:rsidR="009875B8" w:rsidRPr="002E704D" w:rsidRDefault="009875B8">
      <w:pPr>
        <w:pStyle w:val="Vade-mecumtitre2"/>
        <w:rPr>
          <w:lang w:val="nl-NL"/>
        </w:rPr>
      </w:pPr>
      <w:bookmarkStart w:id="109" w:name="_Toc117601097"/>
      <w:r w:rsidRPr="79A775EF">
        <w:rPr>
          <w:lang w:val="nl-NL"/>
        </w:rPr>
        <w:t>A5.1 Indieningsrecht en indieningswijze van de offertes</w:t>
      </w:r>
      <w:bookmarkEnd w:id="93"/>
      <w:bookmarkEnd w:id="94"/>
      <w:bookmarkEnd w:id="95"/>
      <w:bookmarkEnd w:id="96"/>
      <w:bookmarkEnd w:id="97"/>
      <w:bookmarkEnd w:id="98"/>
      <w:bookmarkEnd w:id="109"/>
    </w:p>
    <w:p w14:paraId="252C49B2" w14:textId="77777777" w:rsidR="009875B8" w:rsidRPr="00FF49C3" w:rsidRDefault="009875B8" w:rsidP="009875B8">
      <w:pPr>
        <w:widowControl w:val="0"/>
        <w:tabs>
          <w:tab w:val="left" w:pos="851"/>
        </w:tabs>
        <w:snapToGrid w:val="0"/>
        <w:spacing w:after="120" w:line="240" w:lineRule="auto"/>
        <w:ind w:firstLine="11"/>
        <w:jc w:val="both"/>
        <w:rPr>
          <w:rFonts w:cstheme="minorHAnsi"/>
          <w:szCs w:val="22"/>
          <w:lang w:val="nl-NL"/>
        </w:rPr>
      </w:pPr>
      <w:r w:rsidRPr="009875B8">
        <w:rPr>
          <w:rFonts w:cstheme="minorHAnsi"/>
          <w:szCs w:val="22"/>
          <w:lang w:val="nl-NL"/>
        </w:rPr>
        <w:t xml:space="preserve">Behalve eventuele varianten mag elke inschrijver slechts één offerte indienen per opdracht. Elke deelnemer aan een </w:t>
      </w:r>
      <w:r w:rsidRPr="00FF49C3">
        <w:rPr>
          <w:rFonts w:cstheme="minorHAnsi"/>
          <w:szCs w:val="22"/>
          <w:lang w:val="nl-NL"/>
        </w:rPr>
        <w:t xml:space="preserve">groepering van ondernemers zonder rechtspersoonlijkheid wordt beschouwd als een inschrijver. </w:t>
      </w:r>
    </w:p>
    <w:p w14:paraId="2F13FC4B" w14:textId="77777777" w:rsidR="009875B8" w:rsidRPr="009875B8" w:rsidRDefault="009875B8" w:rsidP="009875B8">
      <w:pPr>
        <w:widowControl w:val="0"/>
        <w:tabs>
          <w:tab w:val="left" w:pos="851"/>
        </w:tabs>
        <w:snapToGrid w:val="0"/>
        <w:spacing w:after="120" w:line="240" w:lineRule="auto"/>
        <w:ind w:firstLine="11"/>
        <w:jc w:val="both"/>
        <w:rPr>
          <w:rFonts w:cstheme="minorHAnsi"/>
          <w:szCs w:val="22"/>
          <w:lang w:val="nl-NL"/>
        </w:rPr>
      </w:pPr>
      <w:r w:rsidRPr="00FF49C3">
        <w:rPr>
          <w:rFonts w:cstheme="minorHAnsi"/>
          <w:szCs w:val="22"/>
          <w:lang w:val="nl-NL"/>
        </w:rPr>
        <w:t>De deelnemers aan een groepering van ondernemers zonder rechtspersoonlijkheid moeten diegene aanduiden die de groepering ten</w:t>
      </w:r>
      <w:r w:rsidRPr="009875B8">
        <w:rPr>
          <w:rFonts w:cstheme="minorHAnsi"/>
          <w:szCs w:val="22"/>
          <w:lang w:val="nl-NL"/>
        </w:rPr>
        <w:t xml:space="preserve"> overstaan van de aanbestedende overheid zal vertegenwoordigen. </w:t>
      </w:r>
    </w:p>
    <w:p w14:paraId="2CC29FCA" w14:textId="77777777" w:rsidR="009875B8" w:rsidRPr="009875B8" w:rsidRDefault="009875B8" w:rsidP="009875B8">
      <w:pPr>
        <w:widowControl w:val="0"/>
        <w:tabs>
          <w:tab w:val="left" w:pos="851"/>
        </w:tabs>
        <w:snapToGrid w:val="0"/>
        <w:spacing w:after="120" w:line="240" w:lineRule="auto"/>
        <w:ind w:firstLine="11"/>
        <w:jc w:val="both"/>
        <w:rPr>
          <w:rFonts w:cstheme="minorHAnsi"/>
          <w:b/>
          <w:szCs w:val="22"/>
          <w:lang w:val="nl-NL"/>
        </w:rPr>
      </w:pPr>
      <w:r w:rsidRPr="009875B8">
        <w:rPr>
          <w:rFonts w:cstheme="minorHAnsi"/>
          <w:b/>
          <w:szCs w:val="22"/>
          <w:lang w:val="nl-NL"/>
        </w:rPr>
        <w:t>De aanbestedende overheid verplicht het toepassen van elektronische middelen voor het indienen van de offerte, op straffe van nietigheid van de offerte.</w:t>
      </w:r>
    </w:p>
    <w:p w14:paraId="4178DA5B" w14:textId="68CA123B" w:rsidR="009875B8" w:rsidRPr="009875B8" w:rsidRDefault="009875B8" w:rsidP="79A775EF">
      <w:pPr>
        <w:spacing w:before="200" w:after="0" w:line="240" w:lineRule="auto"/>
        <w:jc w:val="both"/>
        <w:rPr>
          <w:rFonts w:eastAsia="Times New Roman" w:cs="Times New Roman"/>
          <w:lang w:val="nl-BE"/>
        </w:rPr>
      </w:pPr>
      <w:r w:rsidRPr="61A0463E">
        <w:rPr>
          <w:rFonts w:eastAsia="Times New Roman"/>
          <w:lang w:val="nl-NL"/>
        </w:rPr>
        <w:t xml:space="preserve">De offertes moeten </w:t>
      </w:r>
      <w:r w:rsidRPr="61A0463E">
        <w:rPr>
          <w:rFonts w:eastAsia="Times New Roman"/>
          <w:b/>
          <w:bCs/>
          <w:lang w:val="nl-NL"/>
        </w:rPr>
        <w:t xml:space="preserve">vóór </w:t>
      </w:r>
      <w:r w:rsidR="008F6635">
        <w:rPr>
          <w:rFonts w:eastAsia="Times New Roman"/>
          <w:b/>
          <w:bCs/>
          <w:lang w:val="nl-NL"/>
        </w:rPr>
        <w:t>1</w:t>
      </w:r>
      <w:r w:rsidR="00756CDD">
        <w:rPr>
          <w:rFonts w:eastAsia="Times New Roman"/>
          <w:b/>
          <w:bCs/>
          <w:lang w:val="nl-NL"/>
        </w:rPr>
        <w:t>8</w:t>
      </w:r>
      <w:r w:rsidR="1A25514C" w:rsidRPr="61A0463E">
        <w:rPr>
          <w:rFonts w:eastAsia="Times New Roman"/>
          <w:b/>
          <w:bCs/>
          <w:lang w:val="nl-NL"/>
        </w:rPr>
        <w:t xml:space="preserve"> </w:t>
      </w:r>
      <w:r w:rsidR="3B66D9D8" w:rsidRPr="61A0463E">
        <w:rPr>
          <w:rFonts w:eastAsia="Times New Roman"/>
          <w:b/>
          <w:bCs/>
          <w:lang w:val="nl-NL"/>
        </w:rPr>
        <w:t>januari</w:t>
      </w:r>
      <w:r w:rsidR="1A25514C" w:rsidRPr="61A0463E">
        <w:rPr>
          <w:rFonts w:eastAsia="Times New Roman"/>
          <w:b/>
          <w:bCs/>
          <w:lang w:val="nl-NL"/>
        </w:rPr>
        <w:t xml:space="preserve"> </w:t>
      </w:r>
      <w:r w:rsidR="00A509FA">
        <w:rPr>
          <w:rFonts w:eastAsia="Times New Roman"/>
          <w:b/>
          <w:bCs/>
          <w:lang w:val="nl-NL"/>
        </w:rPr>
        <w:t xml:space="preserve">2023 </w:t>
      </w:r>
      <w:r w:rsidRPr="61A0463E">
        <w:rPr>
          <w:rFonts w:eastAsia="Times New Roman"/>
          <w:b/>
          <w:bCs/>
          <w:lang w:val="nl-NL"/>
        </w:rPr>
        <w:t>o</w:t>
      </w:r>
      <w:r w:rsidRPr="007100CA">
        <w:rPr>
          <w:rFonts w:eastAsia="Times New Roman"/>
          <w:b/>
          <w:bCs/>
          <w:lang w:val="nl-NL"/>
        </w:rPr>
        <w:t xml:space="preserve">m </w:t>
      </w:r>
      <w:r w:rsidR="1F44F46D" w:rsidRPr="007100CA">
        <w:rPr>
          <w:rFonts w:eastAsia="Times New Roman"/>
          <w:b/>
          <w:bCs/>
          <w:lang w:val="nl-NL"/>
        </w:rPr>
        <w:t>11u</w:t>
      </w:r>
      <w:r w:rsidR="1F44F46D" w:rsidRPr="61A0463E">
        <w:rPr>
          <w:rFonts w:eastAsia="Times New Roman"/>
          <w:lang w:val="nl-NL"/>
        </w:rPr>
        <w:t xml:space="preserve"> </w:t>
      </w:r>
      <w:r w:rsidRPr="61A0463E">
        <w:rPr>
          <w:rFonts w:eastAsia="Times New Roman"/>
          <w:lang w:val="nl-NL"/>
        </w:rPr>
        <w:t>in het bezit zijn van de aanbestedende overheid.</w:t>
      </w:r>
      <w:r w:rsidRPr="61A0463E">
        <w:rPr>
          <w:rFonts w:eastAsia="Times New Roman" w:cs="Times New Roman"/>
          <w:lang w:val="nl-BE"/>
        </w:rPr>
        <w:t xml:space="preserve"> </w:t>
      </w:r>
    </w:p>
    <w:p w14:paraId="1E224B87" w14:textId="77777777" w:rsidR="00872559" w:rsidRPr="00872559" w:rsidRDefault="00872559" w:rsidP="00872559">
      <w:pPr>
        <w:spacing w:before="200" w:after="0" w:line="240" w:lineRule="auto"/>
        <w:jc w:val="both"/>
        <w:rPr>
          <w:rFonts w:eastAsia="Times New Roman" w:cs="Times New Roman"/>
          <w:szCs w:val="22"/>
          <w:lang w:val="nl-BE"/>
        </w:rPr>
      </w:pPr>
      <w:bookmarkStart w:id="110" w:name="_Toc487533665"/>
      <w:bookmarkStart w:id="111" w:name="_Toc12453035"/>
      <w:bookmarkStart w:id="112" w:name="OLE_LINK2"/>
      <w:bookmarkStart w:id="113" w:name="OLE_LINK1"/>
      <w:r w:rsidRPr="00872559">
        <w:rPr>
          <w:rFonts w:eastAsia="Times New Roman" w:cs="Times New Roman"/>
          <w:szCs w:val="22"/>
          <w:lang w:val="nl-BE"/>
        </w:rPr>
        <w:t>De communicatie en de informatie-uitwisseling tussen de aanbestedende overheid en de ondernemers, met inbegrip van de elektronische indiening en ontvangst van de offertes dient, in alle fasen van de plaatsingsprocedure, gerealiseerd te worden met behulp van elektronische communicatiemiddelen.</w:t>
      </w:r>
    </w:p>
    <w:p w14:paraId="24B84486" w14:textId="50AE33A0" w:rsidR="00872559" w:rsidRPr="00872559" w:rsidRDefault="00872559" w:rsidP="00872559">
      <w:pPr>
        <w:spacing w:before="200" w:after="0" w:line="240" w:lineRule="auto"/>
        <w:jc w:val="both"/>
        <w:rPr>
          <w:rFonts w:eastAsia="Times New Roman" w:cs="Times New Roman"/>
          <w:szCs w:val="22"/>
          <w:lang w:val="nl-BE"/>
        </w:rPr>
      </w:pPr>
      <w:r w:rsidRPr="00872559">
        <w:rPr>
          <w:rFonts w:eastAsia="Times New Roman" w:cs="Times New Roman"/>
          <w:szCs w:val="22"/>
          <w:lang w:val="nl-BE"/>
        </w:rPr>
        <w:t>De elektronische offertes moeten verstuurd worden via de internetsite e-tendering</w:t>
      </w:r>
      <w:r w:rsidR="007100CA" w:rsidRPr="007100CA">
        <w:rPr>
          <w:lang w:val="nl-NL"/>
        </w:rPr>
        <w:t xml:space="preserve"> </w:t>
      </w:r>
      <w:hyperlink r:id="rId26" w:history="1">
        <w:r w:rsidR="007100CA" w:rsidRPr="00372FED">
          <w:rPr>
            <w:rStyle w:val="Hyperlink"/>
            <w:lang w:val="nl-NL"/>
          </w:rPr>
          <w:t>https://eten.publicprocurement.be/</w:t>
        </w:r>
      </w:hyperlink>
      <w:r w:rsidR="007100CA">
        <w:rPr>
          <w:lang w:val="nl-NL"/>
        </w:rPr>
        <w:t>,</w:t>
      </w:r>
      <w:r w:rsidRPr="00872559">
        <w:rPr>
          <w:rFonts w:eastAsia="Times New Roman" w:cs="Times New Roman"/>
          <w:szCs w:val="22"/>
          <w:lang w:val="nl-BE"/>
        </w:rPr>
        <w:t xml:space="preserve"> die de naleving waarborgt van de voorwaarden bepaal</w:t>
      </w:r>
      <w:r w:rsidR="0014256C">
        <w:rPr>
          <w:rFonts w:eastAsia="Times New Roman" w:cs="Times New Roman"/>
          <w:szCs w:val="22"/>
          <w:lang w:val="nl-BE"/>
        </w:rPr>
        <w:t>d</w:t>
      </w:r>
      <w:r w:rsidRPr="00872559">
        <w:rPr>
          <w:rFonts w:eastAsia="Times New Roman" w:cs="Times New Roman"/>
          <w:szCs w:val="22"/>
          <w:lang w:val="nl-BE"/>
        </w:rPr>
        <w:t xml:space="preserve"> in artikel 14, §6 en §7 van de wet van 17 juni 2016.</w:t>
      </w:r>
    </w:p>
    <w:p w14:paraId="4C299149" w14:textId="77777777" w:rsidR="00872559" w:rsidRPr="00872559" w:rsidRDefault="00872559" w:rsidP="00872559">
      <w:pPr>
        <w:spacing w:before="200" w:after="0" w:line="240" w:lineRule="auto"/>
        <w:jc w:val="both"/>
        <w:rPr>
          <w:rFonts w:eastAsia="Times New Roman" w:cs="Times New Roman"/>
          <w:szCs w:val="22"/>
          <w:lang w:val="nl-BE"/>
        </w:rPr>
      </w:pPr>
      <w:r w:rsidRPr="00872559">
        <w:rPr>
          <w:rFonts w:eastAsia="Times New Roman" w:cs="Times New Roman"/>
          <w:szCs w:val="22"/>
          <w:lang w:val="nl-BE"/>
        </w:rPr>
        <w:t>De aanbestedende overheid maakt de inschrijvers attent op het feit dat een offerte verzonden via mail niet beantwoordt aan de voorwaarden van artikel 14, §6 en §7 van de wet van 17 juni 2016.</w:t>
      </w:r>
    </w:p>
    <w:p w14:paraId="71B777BB" w14:textId="77777777" w:rsidR="00872559" w:rsidRPr="00872559" w:rsidRDefault="00872559" w:rsidP="00872559">
      <w:pPr>
        <w:spacing w:before="200" w:after="0" w:line="240" w:lineRule="auto"/>
        <w:jc w:val="both"/>
        <w:rPr>
          <w:rFonts w:eastAsia="Times New Roman" w:cs="Times New Roman"/>
          <w:szCs w:val="22"/>
          <w:lang w:val="nl-BE"/>
        </w:rPr>
      </w:pPr>
      <w:r w:rsidRPr="00872559">
        <w:rPr>
          <w:rFonts w:eastAsia="Times New Roman" w:cs="Times New Roman"/>
          <w:szCs w:val="22"/>
          <w:lang w:val="nl-BE"/>
        </w:rPr>
        <w:t>Door zijn offerte via elektronische middelen in te dienen, aanvaardt de inschrijver dat de gegevens van zijn offerte via het ontvangstsysteem geregistreerd worden.</w:t>
      </w:r>
    </w:p>
    <w:p w14:paraId="7D8E1293" w14:textId="7E8D0F9D" w:rsidR="00872559" w:rsidRDefault="00872559" w:rsidP="00872559">
      <w:pPr>
        <w:spacing w:before="200" w:after="0" w:line="240" w:lineRule="auto"/>
        <w:jc w:val="both"/>
        <w:rPr>
          <w:rFonts w:eastAsia="Times New Roman" w:cs="Times New Roman"/>
          <w:szCs w:val="22"/>
          <w:lang w:val="nl-BE"/>
        </w:rPr>
      </w:pPr>
      <w:r w:rsidRPr="00872559">
        <w:rPr>
          <w:rFonts w:eastAsia="Times New Roman" w:cs="Times New Roman"/>
          <w:szCs w:val="22"/>
          <w:lang w:val="nl-BE"/>
        </w:rPr>
        <w:t xml:space="preserve">Meer informatie kan worden teruggevonden op volgende website: </w:t>
      </w:r>
      <w:hyperlink r:id="rId27" w:history="1">
        <w:r w:rsidR="00422280" w:rsidRPr="00203B0E">
          <w:rPr>
            <w:rStyle w:val="Hyperlink"/>
            <w:lang w:val="nl-NL"/>
          </w:rPr>
          <w:t>https://bosa.belgium.be/nl/themas/overheids-opdrachten/een-offerte-indienen-als-bedrijf/een-offerte-indienen-als-bedrijf</w:t>
        </w:r>
      </w:hyperlink>
      <w:r w:rsidR="00422280">
        <w:rPr>
          <w:lang w:val="nl-NL"/>
        </w:rPr>
        <w:t xml:space="preserve"> </w:t>
      </w:r>
      <w:r w:rsidRPr="00872559">
        <w:rPr>
          <w:rFonts w:eastAsia="Times New Roman" w:cs="Times New Roman"/>
          <w:szCs w:val="22"/>
          <w:lang w:val="nl-BE"/>
        </w:rPr>
        <w:t xml:space="preserve">of </w:t>
      </w:r>
      <w:r w:rsidR="00FD6209" w:rsidRPr="00FD6209">
        <w:rPr>
          <w:rFonts w:eastAsia="Times New Roman" w:cs="Times New Roman"/>
          <w:szCs w:val="22"/>
          <w:lang w:val="nl-BE"/>
        </w:rPr>
        <w:t>via de helpdesk van de dienst e-Procurement</w:t>
      </w:r>
      <w:r w:rsidR="009A3A24">
        <w:rPr>
          <w:rFonts w:eastAsia="Times New Roman" w:cs="Times New Roman"/>
          <w:szCs w:val="22"/>
          <w:lang w:val="nl-BE"/>
        </w:rPr>
        <w:t xml:space="preserve"> </w:t>
      </w:r>
      <w:r w:rsidRPr="00872559">
        <w:rPr>
          <w:rFonts w:eastAsia="Times New Roman" w:cs="Times New Roman"/>
          <w:szCs w:val="22"/>
          <w:lang w:val="nl-BE"/>
        </w:rPr>
        <w:t>op het nummer: +32 (0)2 740 80 00.</w:t>
      </w:r>
    </w:p>
    <w:p w14:paraId="7FC65C70" w14:textId="18F3E193" w:rsidR="00B001D8" w:rsidRPr="00CF3265" w:rsidRDefault="00B001D8" w:rsidP="00872559">
      <w:pPr>
        <w:spacing w:before="200" w:after="0" w:line="240" w:lineRule="auto"/>
        <w:jc w:val="both"/>
        <w:rPr>
          <w:rFonts w:eastAsia="Times New Roman" w:cs="Times New Roman"/>
          <w:sz w:val="16"/>
          <w:szCs w:val="16"/>
          <w:lang w:val="nl-BE"/>
        </w:rPr>
      </w:pPr>
    </w:p>
    <w:p w14:paraId="4A33CE99" w14:textId="77777777" w:rsidR="009875B8" w:rsidRPr="002E704D" w:rsidRDefault="009875B8">
      <w:pPr>
        <w:pStyle w:val="Vade-mecumtitre2"/>
        <w:rPr>
          <w:lang w:val="nl-NL"/>
        </w:rPr>
      </w:pPr>
      <w:bookmarkStart w:id="114" w:name="_Toc108509932"/>
      <w:bookmarkStart w:id="115" w:name="_Toc113544440"/>
      <w:bookmarkStart w:id="116" w:name="_Toc114066742"/>
      <w:bookmarkStart w:id="117" w:name="_Toc115882621"/>
      <w:bookmarkStart w:id="118" w:name="_Toc117601098"/>
      <w:r w:rsidRPr="79A775EF">
        <w:rPr>
          <w:lang w:val="nl-NL"/>
        </w:rPr>
        <w:t>A5.2 Wijziging of intrekking van een reeds ingediende offerte</w:t>
      </w:r>
      <w:bookmarkEnd w:id="110"/>
      <w:bookmarkEnd w:id="111"/>
      <w:bookmarkEnd w:id="114"/>
      <w:bookmarkEnd w:id="115"/>
      <w:bookmarkEnd w:id="116"/>
      <w:bookmarkEnd w:id="117"/>
      <w:bookmarkEnd w:id="118"/>
    </w:p>
    <w:bookmarkEnd w:id="112"/>
    <w:bookmarkEnd w:id="113"/>
    <w:p w14:paraId="290F2A90" w14:textId="77777777" w:rsidR="00CF3265" w:rsidRDefault="009875B8" w:rsidP="00CF3265">
      <w:pPr>
        <w:widowControl w:val="0"/>
        <w:snapToGrid w:val="0"/>
        <w:spacing w:after="120" w:line="240" w:lineRule="auto"/>
        <w:ind w:firstLine="11"/>
        <w:jc w:val="both"/>
        <w:rPr>
          <w:rFonts w:cstheme="minorHAnsi"/>
          <w:szCs w:val="22"/>
          <w:lang w:val="nl-NL"/>
        </w:rPr>
      </w:pPr>
      <w:r w:rsidRPr="009875B8">
        <w:rPr>
          <w:rFonts w:cstheme="minorHAnsi"/>
          <w:szCs w:val="22"/>
          <w:lang w:val="nl-NL"/>
        </w:rPr>
        <w:t xml:space="preserve">De wijzigingen of intrekking van een reeds ingediende offerte moet(en) de voorwaarden van art. 43 van het KB van 18 april 2017 respecteren. </w:t>
      </w:r>
      <w:bookmarkStart w:id="119" w:name="_Toc347134727"/>
      <w:bookmarkStart w:id="120" w:name="_Toc486524201"/>
      <w:bookmarkStart w:id="121" w:name="_Toc487533666"/>
      <w:bookmarkStart w:id="122" w:name="_Toc12453036"/>
      <w:bookmarkStart w:id="123" w:name="_Toc77719398"/>
      <w:bookmarkStart w:id="124" w:name="_Toc108509933"/>
      <w:bookmarkStart w:id="125" w:name="_Toc117601099"/>
    </w:p>
    <w:p w14:paraId="3D0066A6" w14:textId="77777777" w:rsidR="00CF3265" w:rsidRPr="00CF3265" w:rsidRDefault="009875B8" w:rsidP="00CF3265">
      <w:pPr>
        <w:pStyle w:val="Vade-mecumtitre1"/>
        <w:numPr>
          <w:ilvl w:val="0"/>
          <w:numId w:val="0"/>
        </w:numPr>
        <w:ind w:left="432" w:hanging="432"/>
        <w:rPr>
          <w:rFonts w:cstheme="minorHAnsi"/>
          <w:sz w:val="16"/>
          <w:szCs w:val="16"/>
        </w:rPr>
      </w:pPr>
      <w:r w:rsidRPr="00CF3265">
        <w:t>A6. Leidende ambtenaar</w:t>
      </w:r>
      <w:bookmarkEnd w:id="99"/>
      <w:bookmarkEnd w:id="100"/>
      <w:bookmarkEnd w:id="101"/>
      <w:bookmarkEnd w:id="102"/>
      <w:bookmarkEnd w:id="103"/>
      <w:bookmarkEnd w:id="104"/>
      <w:bookmarkEnd w:id="105"/>
      <w:bookmarkEnd w:id="106"/>
      <w:bookmarkEnd w:id="107"/>
      <w:bookmarkEnd w:id="119"/>
      <w:bookmarkEnd w:id="120"/>
      <w:bookmarkEnd w:id="121"/>
      <w:bookmarkEnd w:id="122"/>
      <w:bookmarkEnd w:id="123"/>
      <w:bookmarkEnd w:id="124"/>
      <w:bookmarkEnd w:id="125"/>
      <w:r w:rsidR="00CF3265">
        <w:rPr>
          <w:rFonts w:cstheme="minorHAnsi"/>
          <w:szCs w:val="22"/>
        </w:rPr>
        <w:br/>
      </w:r>
    </w:p>
    <w:p w14:paraId="4B82C4BD" w14:textId="452BD112" w:rsidR="009875B8" w:rsidRPr="009875B8" w:rsidRDefault="009875B8" w:rsidP="00CF3265">
      <w:pPr>
        <w:widowControl w:val="0"/>
        <w:snapToGrid w:val="0"/>
        <w:spacing w:after="120" w:line="240" w:lineRule="auto"/>
        <w:jc w:val="both"/>
        <w:rPr>
          <w:rFonts w:cstheme="minorHAnsi"/>
          <w:szCs w:val="22"/>
          <w:lang w:val="nl-NL"/>
        </w:rPr>
      </w:pPr>
      <w:r w:rsidRPr="009875B8">
        <w:rPr>
          <w:rFonts w:cstheme="minorHAnsi"/>
          <w:szCs w:val="22"/>
          <w:lang w:val="nl-NL"/>
        </w:rPr>
        <w:t xml:space="preserve">De leidende ambtenaar (die een ambtenaar van de aanbestedende overheid is) zal worden aangeduid in de kennisgeving van de sluiting van de opdracht. De grenzen van zijn bevoegdheid zullen worden vermeld. De leidende ambtenaar kan vervangen worden tijdens de uitvoering van de opdracht. Deze vervanging zal schriftelijk meegedeeld worden aan de </w:t>
      </w:r>
      <w:r w:rsidRPr="009875B8">
        <w:rPr>
          <w:rFonts w:cstheme="minorHAnsi"/>
          <w:szCs w:val="22"/>
          <w:lang w:val="nl-NL"/>
        </w:rPr>
        <w:lastRenderedPageBreak/>
        <w:t>opdrachtnemer.</w:t>
      </w:r>
    </w:p>
    <w:p w14:paraId="72C26D4F" w14:textId="77777777" w:rsidR="009875B8" w:rsidRPr="009875B8" w:rsidRDefault="009875B8" w:rsidP="00B001D8">
      <w:pPr>
        <w:pStyle w:val="Vade-mecumtitre1"/>
        <w:numPr>
          <w:ilvl w:val="0"/>
          <w:numId w:val="0"/>
        </w:numPr>
        <w:ind w:left="432" w:hanging="432"/>
      </w:pPr>
      <w:bookmarkStart w:id="126" w:name="_Toc347134728"/>
      <w:bookmarkStart w:id="127" w:name="_Toc486524202"/>
      <w:bookmarkStart w:id="128" w:name="_Toc487533667"/>
      <w:bookmarkStart w:id="129" w:name="_Toc12453037"/>
      <w:bookmarkStart w:id="130" w:name="_Toc77719399"/>
      <w:bookmarkStart w:id="131" w:name="_Toc108509934"/>
      <w:bookmarkStart w:id="132" w:name="_Toc117601100"/>
      <w:r w:rsidRPr="009875B8">
        <w:t>A7. Beschrijving van de te presteren diensten</w:t>
      </w:r>
      <w:bookmarkEnd w:id="126"/>
      <w:bookmarkEnd w:id="127"/>
      <w:bookmarkEnd w:id="128"/>
      <w:bookmarkEnd w:id="129"/>
      <w:bookmarkEnd w:id="130"/>
      <w:bookmarkEnd w:id="131"/>
      <w:bookmarkEnd w:id="132"/>
    </w:p>
    <w:p w14:paraId="27E86A0F" w14:textId="77777777" w:rsidR="009875B8" w:rsidRPr="009875B8" w:rsidRDefault="009875B8" w:rsidP="009875B8">
      <w:pPr>
        <w:keepNext/>
        <w:keepLines/>
        <w:snapToGrid w:val="0"/>
        <w:spacing w:after="120" w:line="240" w:lineRule="auto"/>
        <w:jc w:val="both"/>
        <w:rPr>
          <w:rFonts w:cstheme="minorHAnsi"/>
          <w:szCs w:val="22"/>
          <w:lang w:val="nl-NL"/>
        </w:rPr>
      </w:pPr>
      <w:bookmarkStart w:id="133" w:name="_Toc30346065"/>
      <w:bookmarkStart w:id="134" w:name="_Toc321891443"/>
      <w:bookmarkStart w:id="135" w:name="_Toc322448965"/>
      <w:bookmarkStart w:id="136" w:name="_Toc347134730"/>
      <w:bookmarkStart w:id="137" w:name="_Toc486524204"/>
      <w:bookmarkStart w:id="138" w:name="_Toc529699968"/>
      <w:bookmarkStart w:id="139" w:name="_Toc529700584"/>
      <w:bookmarkStart w:id="140" w:name="_Toc529747440"/>
      <w:bookmarkStart w:id="141" w:name="_Toc230684"/>
      <w:bookmarkStart w:id="142" w:name="_Toc230738"/>
      <w:bookmarkStart w:id="143" w:name="_Toc12079533"/>
      <w:bookmarkStart w:id="144" w:name="_Toc12862729"/>
      <w:bookmarkStart w:id="145" w:name="_Toc19591188"/>
      <w:bookmarkStart w:id="146" w:name="_Toc232304304"/>
      <w:r w:rsidRPr="009875B8">
        <w:rPr>
          <w:rFonts w:cstheme="minorHAnsi"/>
          <w:szCs w:val="22"/>
          <w:lang w:val="nl-NL"/>
        </w:rPr>
        <w:t>De te leveren diensten worden gedetailleerd beschreven in deel B ‘Technische voorschriften’ van dit bestek.</w:t>
      </w:r>
      <w:bookmarkEnd w:id="133"/>
    </w:p>
    <w:p w14:paraId="1A398CC1" w14:textId="77777777" w:rsidR="009875B8" w:rsidRPr="009875B8" w:rsidRDefault="009875B8" w:rsidP="00B001D8">
      <w:pPr>
        <w:pStyle w:val="Vade-mecumtitre1"/>
        <w:numPr>
          <w:ilvl w:val="0"/>
          <w:numId w:val="0"/>
        </w:numPr>
        <w:ind w:left="432" w:hanging="432"/>
      </w:pPr>
      <w:bookmarkStart w:id="147" w:name="_Toc487533668"/>
      <w:bookmarkStart w:id="148" w:name="_Toc12453038"/>
      <w:bookmarkStart w:id="149" w:name="_Toc77719400"/>
      <w:bookmarkStart w:id="150" w:name="_Toc108509935"/>
      <w:bookmarkStart w:id="151" w:name="_Toc117601101"/>
      <w:r w:rsidRPr="009875B8">
        <w:t>A8. Documenten van toepassing op de opdracht</w:t>
      </w:r>
      <w:bookmarkEnd w:id="134"/>
      <w:bookmarkEnd w:id="135"/>
      <w:bookmarkEnd w:id="136"/>
      <w:bookmarkEnd w:id="137"/>
      <w:bookmarkEnd w:id="147"/>
      <w:bookmarkEnd w:id="148"/>
      <w:bookmarkEnd w:id="149"/>
      <w:bookmarkEnd w:id="150"/>
      <w:bookmarkEnd w:id="151"/>
    </w:p>
    <w:p w14:paraId="2CD990A5" w14:textId="77777777" w:rsidR="009875B8" w:rsidRPr="009875B8" w:rsidRDefault="009875B8">
      <w:pPr>
        <w:pStyle w:val="Vade-mecumtitre2"/>
      </w:pPr>
      <w:bookmarkStart w:id="152" w:name="_Toc20047966"/>
      <w:bookmarkStart w:id="153" w:name="_Toc127883967"/>
      <w:bookmarkStart w:id="154" w:name="_Toc321891444"/>
      <w:bookmarkStart w:id="155" w:name="_Toc322448966"/>
      <w:bookmarkStart w:id="156" w:name="_Toc347134731"/>
      <w:bookmarkStart w:id="157" w:name="_Toc486524205"/>
      <w:bookmarkStart w:id="158" w:name="_Toc487533669"/>
      <w:bookmarkStart w:id="159" w:name="_Toc12453039"/>
      <w:bookmarkStart w:id="160" w:name="_Toc108509936"/>
      <w:bookmarkStart w:id="161" w:name="_Toc113544444"/>
      <w:bookmarkStart w:id="162" w:name="_Toc114066746"/>
      <w:bookmarkStart w:id="163" w:name="_Toc115882625"/>
      <w:bookmarkStart w:id="164" w:name="_Toc117601102"/>
      <w:r>
        <w:t>A8.1 Wetgeving</w:t>
      </w:r>
      <w:bookmarkEnd w:id="152"/>
      <w:bookmarkEnd w:id="153"/>
      <w:bookmarkEnd w:id="154"/>
      <w:bookmarkEnd w:id="155"/>
      <w:bookmarkEnd w:id="156"/>
      <w:bookmarkEnd w:id="157"/>
      <w:bookmarkEnd w:id="158"/>
      <w:bookmarkEnd w:id="159"/>
      <w:bookmarkEnd w:id="160"/>
      <w:bookmarkEnd w:id="161"/>
      <w:bookmarkEnd w:id="162"/>
      <w:bookmarkEnd w:id="163"/>
      <w:bookmarkEnd w:id="164"/>
    </w:p>
    <w:p w14:paraId="318EDD30"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Wet van 17 juni 2016 inzake overheidsopdrachten;</w:t>
      </w:r>
    </w:p>
    <w:p w14:paraId="50C84CB5"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Wet van 17 juni 2013 betreffende de motivering, de informatie en de rechtsmiddelen inzake overheidsopdrachten en bepaalde opdrachten voor werken, leveringen en diensten;</w:t>
      </w:r>
    </w:p>
    <w:p w14:paraId="2F33A687" w14:textId="2740C8C1"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 xml:space="preserve">Koninklijk </w:t>
      </w:r>
      <w:r w:rsidR="00545C51">
        <w:rPr>
          <w:rFonts w:cstheme="minorHAnsi"/>
          <w:szCs w:val="22"/>
          <w:lang w:val="nl-NL"/>
        </w:rPr>
        <w:t>B</w:t>
      </w:r>
      <w:r w:rsidRPr="009875B8">
        <w:rPr>
          <w:rFonts w:cstheme="minorHAnsi"/>
          <w:szCs w:val="22"/>
          <w:lang w:val="nl-NL"/>
        </w:rPr>
        <w:t>esluit van 18 april 2017 betreffende de plaatsing overheidsopdrachten in de klassieke sectoren;</w:t>
      </w:r>
    </w:p>
    <w:p w14:paraId="63C5D771" w14:textId="77777777" w:rsidR="0014256C" w:rsidRDefault="00545C51">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Pr>
          <w:rFonts w:cstheme="minorHAnsi"/>
          <w:szCs w:val="22"/>
          <w:lang w:val="nl-NL"/>
        </w:rPr>
        <w:t>Koninklijk</w:t>
      </w:r>
      <w:r w:rsidR="009875B8" w:rsidRPr="009875B8">
        <w:rPr>
          <w:rFonts w:cstheme="minorHAnsi"/>
          <w:szCs w:val="22"/>
          <w:lang w:val="nl-NL"/>
        </w:rPr>
        <w:t xml:space="preserve"> </w:t>
      </w:r>
      <w:r>
        <w:rPr>
          <w:rFonts w:cstheme="minorHAnsi"/>
          <w:szCs w:val="22"/>
          <w:lang w:val="nl-NL"/>
        </w:rPr>
        <w:t>B</w:t>
      </w:r>
      <w:r w:rsidR="009875B8" w:rsidRPr="009875B8">
        <w:rPr>
          <w:rFonts w:cstheme="minorHAnsi"/>
          <w:szCs w:val="22"/>
          <w:lang w:val="nl-NL"/>
        </w:rPr>
        <w:t>esluit van 14 januari 2013 tot bepaling van de algemene uitvoeringsregels van de overheidsopdrachten;</w:t>
      </w:r>
      <w:bookmarkStart w:id="165" w:name="_Toc529699970"/>
      <w:bookmarkStart w:id="166" w:name="_Toc529700586"/>
      <w:bookmarkStart w:id="167" w:name="_Toc529747442"/>
      <w:bookmarkStart w:id="168" w:name="_Toc230686"/>
      <w:bookmarkStart w:id="169" w:name="_Toc230740"/>
      <w:bookmarkStart w:id="170" w:name="_Toc12079535"/>
      <w:bookmarkStart w:id="171" w:name="_Toc12862731"/>
      <w:bookmarkStart w:id="172" w:name="_Toc19591190"/>
      <w:bookmarkStart w:id="173" w:name="_Toc232304306"/>
      <w:bookmarkStart w:id="174" w:name="_Toc347134733"/>
      <w:bookmarkStart w:id="175" w:name="_Toc486524206"/>
      <w:bookmarkStart w:id="176" w:name="_Toc487533670"/>
      <w:bookmarkStart w:id="177" w:name="_Toc12453040"/>
      <w:bookmarkStart w:id="178" w:name="_Toc108509937"/>
      <w:bookmarkStart w:id="179" w:name="_Toc113544445"/>
      <w:bookmarkStart w:id="180" w:name="_Toc114066747"/>
      <w:bookmarkEnd w:id="138"/>
      <w:bookmarkEnd w:id="139"/>
      <w:bookmarkEnd w:id="140"/>
      <w:bookmarkEnd w:id="141"/>
      <w:bookmarkEnd w:id="142"/>
      <w:bookmarkEnd w:id="143"/>
      <w:bookmarkEnd w:id="144"/>
      <w:bookmarkEnd w:id="145"/>
      <w:bookmarkEnd w:id="146"/>
    </w:p>
    <w:p w14:paraId="05668F32" w14:textId="77777777" w:rsidR="0014256C" w:rsidRDefault="0014256C">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14256C">
        <w:rPr>
          <w:rFonts w:cstheme="minorHAnsi"/>
          <w:szCs w:val="22"/>
          <w:lang w:val="nl-NL"/>
        </w:rPr>
        <w:t>Alle wijzigingen aan de wetten en de voormelde besluiten die van toepassing zijn op de dag van de publicatie van de aankondiging van de opdracht in het Bulletin der Aanbestedingen en/of in het Publicatieblad van de Europese Unie</w:t>
      </w:r>
    </w:p>
    <w:p w14:paraId="616DC5DD" w14:textId="77777777" w:rsidR="0014256C" w:rsidRDefault="0014256C" w:rsidP="0014256C">
      <w:pPr>
        <w:pBdr>
          <w:top w:val="nil"/>
          <w:left w:val="nil"/>
          <w:bottom w:val="nil"/>
          <w:right w:val="nil"/>
          <w:between w:val="nil"/>
          <w:bar w:val="nil"/>
        </w:pBdr>
        <w:tabs>
          <w:tab w:val="left" w:pos="5340"/>
        </w:tabs>
        <w:snapToGrid w:val="0"/>
        <w:spacing w:after="120" w:line="240" w:lineRule="auto"/>
        <w:ind w:left="357"/>
        <w:jc w:val="both"/>
        <w:rPr>
          <w:rFonts w:cstheme="minorHAnsi"/>
          <w:szCs w:val="22"/>
          <w:lang w:val="nl-NL"/>
        </w:rPr>
      </w:pPr>
    </w:p>
    <w:p w14:paraId="64B4B578" w14:textId="6AF5593F" w:rsidR="009875B8" w:rsidRPr="0014256C" w:rsidRDefault="009875B8">
      <w:pPr>
        <w:pStyle w:val="Vade-mecumtitre2"/>
        <w:rPr>
          <w:rFonts w:cstheme="minorHAnsi"/>
          <w:szCs w:val="22"/>
        </w:rPr>
      </w:pPr>
      <w:bookmarkStart w:id="181" w:name="_Toc115882626"/>
      <w:bookmarkStart w:id="182" w:name="_Toc117601103"/>
      <w:r>
        <w:t>A8.2 Opdrachtdocumenten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3A2990F" w14:textId="690FBCB4" w:rsidR="009875B8" w:rsidRPr="007100CA" w:rsidRDefault="009875B8" w:rsidP="79A775EF">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lang w:val="nl-NL"/>
        </w:rPr>
      </w:pPr>
      <w:r w:rsidRPr="007100CA">
        <w:rPr>
          <w:lang w:val="nl-NL"/>
        </w:rPr>
        <w:t>onderhavig bestek nr. S2/20</w:t>
      </w:r>
      <w:r w:rsidR="00D02A36" w:rsidRPr="007100CA">
        <w:rPr>
          <w:lang w:val="nl-NL"/>
        </w:rPr>
        <w:t>22</w:t>
      </w:r>
      <w:r w:rsidR="00716F34" w:rsidRPr="007100CA">
        <w:rPr>
          <w:lang w:val="nl-NL"/>
        </w:rPr>
        <w:t>/</w:t>
      </w:r>
      <w:r w:rsidR="00D02A36" w:rsidRPr="007100CA">
        <w:rPr>
          <w:lang w:val="nl-NL"/>
        </w:rPr>
        <w:t>0</w:t>
      </w:r>
      <w:r w:rsidR="007100CA" w:rsidRPr="007100CA">
        <w:rPr>
          <w:lang w:val="nl-NL"/>
        </w:rPr>
        <w:t>3</w:t>
      </w:r>
    </w:p>
    <w:p w14:paraId="0FD68D79" w14:textId="1E0FBBE2"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het offerteformulier in bijlage</w:t>
      </w:r>
    </w:p>
    <w:p w14:paraId="75532B25" w14:textId="5CA7A032" w:rsidR="009E6864" w:rsidRPr="009410E6"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het Uniform Europees Aanbestedingsdocument (UEA)</w:t>
      </w:r>
    </w:p>
    <w:p w14:paraId="4C1DC0A5" w14:textId="77777777" w:rsidR="009410E6" w:rsidRDefault="009410E6" w:rsidP="009E6864">
      <w:pPr>
        <w:pBdr>
          <w:top w:val="nil"/>
          <w:left w:val="nil"/>
          <w:bottom w:val="nil"/>
          <w:right w:val="nil"/>
          <w:between w:val="nil"/>
          <w:bar w:val="nil"/>
        </w:pBdr>
        <w:tabs>
          <w:tab w:val="left" w:pos="5340"/>
        </w:tabs>
        <w:snapToGrid w:val="0"/>
        <w:spacing w:after="120" w:line="240" w:lineRule="auto"/>
        <w:jc w:val="both"/>
        <w:rPr>
          <w:rFonts w:cstheme="minorHAnsi"/>
          <w:szCs w:val="22"/>
          <w:lang w:val="nl-NL"/>
        </w:rPr>
      </w:pPr>
    </w:p>
    <w:p w14:paraId="1BF5A0C6" w14:textId="77777777" w:rsidR="009E6864" w:rsidRPr="009E6864" w:rsidRDefault="009E6864">
      <w:pPr>
        <w:pStyle w:val="Vade-mecumtitre2"/>
      </w:pPr>
      <w:bookmarkStart w:id="183" w:name="_Toc487533671"/>
      <w:bookmarkStart w:id="184" w:name="_Toc12453041"/>
      <w:bookmarkStart w:id="185" w:name="_Toc113544446"/>
      <w:bookmarkStart w:id="186" w:name="_Toc114066748"/>
      <w:bookmarkStart w:id="187" w:name="_Toc115882627"/>
      <w:bookmarkStart w:id="188" w:name="_Toc117601104"/>
      <w:r>
        <w:t>A8.3 Aanbestedingsberichten en rechtzettingen</w:t>
      </w:r>
      <w:bookmarkEnd w:id="183"/>
      <w:bookmarkEnd w:id="184"/>
      <w:bookmarkEnd w:id="185"/>
      <w:bookmarkEnd w:id="186"/>
      <w:bookmarkEnd w:id="187"/>
      <w:bookmarkEnd w:id="188"/>
    </w:p>
    <w:p w14:paraId="31A58728" w14:textId="1F7282EE" w:rsidR="009E6864" w:rsidRDefault="009E6864" w:rsidP="009E6864">
      <w:pPr>
        <w:pBdr>
          <w:top w:val="nil"/>
          <w:left w:val="nil"/>
          <w:bottom w:val="nil"/>
          <w:right w:val="nil"/>
          <w:between w:val="nil"/>
          <w:bar w:val="nil"/>
        </w:pBdr>
        <w:tabs>
          <w:tab w:val="left" w:pos="5340"/>
        </w:tabs>
        <w:snapToGrid w:val="0"/>
        <w:spacing w:after="120" w:line="240" w:lineRule="auto"/>
        <w:jc w:val="both"/>
        <w:rPr>
          <w:rFonts w:cstheme="minorHAnsi"/>
          <w:szCs w:val="22"/>
          <w:lang w:val="nl-NL"/>
        </w:rPr>
      </w:pPr>
      <w:r w:rsidRPr="009E6864">
        <w:rPr>
          <w:rFonts w:cstheme="minorHAnsi"/>
          <w:szCs w:val="22"/>
          <w:lang w:val="nl-NL"/>
        </w:rPr>
        <w:t>De in het Bulletin der Aanbestedingen en het Publicatieblad van de Europese Unie aangekondigde of gepubliceerde berichten en rechtzettingen die betrekking hebben op de aannemingen in het algemeen, evenals de berichten en rechtzettingen betreffende deze aanneming maken integraal deel uit van huidig bestek. De inschrijver wordt geacht er kennis van genomen te hebben en er bij het opmaken van zijn offerte rekening mee gehouden te hebben</w:t>
      </w:r>
      <w:r w:rsidR="00D5497D">
        <w:rPr>
          <w:rFonts w:cstheme="minorHAnsi"/>
          <w:szCs w:val="22"/>
          <w:lang w:val="nl-NL"/>
        </w:rPr>
        <w:t>.</w:t>
      </w:r>
    </w:p>
    <w:p w14:paraId="0715B7EF" w14:textId="673E0CA3" w:rsidR="00CF3265" w:rsidRDefault="00CF3265" w:rsidP="009E6864">
      <w:pPr>
        <w:pBdr>
          <w:top w:val="nil"/>
          <w:left w:val="nil"/>
          <w:bottom w:val="nil"/>
          <w:right w:val="nil"/>
          <w:between w:val="nil"/>
          <w:bar w:val="nil"/>
        </w:pBdr>
        <w:tabs>
          <w:tab w:val="left" w:pos="5340"/>
        </w:tabs>
        <w:snapToGrid w:val="0"/>
        <w:spacing w:after="120" w:line="240" w:lineRule="auto"/>
        <w:jc w:val="both"/>
        <w:rPr>
          <w:rFonts w:cstheme="minorHAnsi"/>
          <w:szCs w:val="22"/>
          <w:lang w:val="nl-NL"/>
        </w:rPr>
      </w:pPr>
    </w:p>
    <w:p w14:paraId="5277A7A0" w14:textId="3F9F773E" w:rsidR="00CF3265" w:rsidRDefault="00CF3265" w:rsidP="009E6864">
      <w:pPr>
        <w:pBdr>
          <w:top w:val="nil"/>
          <w:left w:val="nil"/>
          <w:bottom w:val="nil"/>
          <w:right w:val="nil"/>
          <w:between w:val="nil"/>
          <w:bar w:val="nil"/>
        </w:pBdr>
        <w:tabs>
          <w:tab w:val="left" w:pos="5340"/>
        </w:tabs>
        <w:snapToGrid w:val="0"/>
        <w:spacing w:after="120" w:line="240" w:lineRule="auto"/>
        <w:jc w:val="both"/>
        <w:rPr>
          <w:rFonts w:cstheme="minorHAnsi"/>
          <w:szCs w:val="22"/>
          <w:lang w:val="nl-NL"/>
        </w:rPr>
      </w:pPr>
    </w:p>
    <w:p w14:paraId="63AE60A2" w14:textId="77777777" w:rsidR="00CF3265" w:rsidRPr="009875B8" w:rsidRDefault="00CF3265" w:rsidP="009E6864">
      <w:pPr>
        <w:pBdr>
          <w:top w:val="nil"/>
          <w:left w:val="nil"/>
          <w:bottom w:val="nil"/>
          <w:right w:val="nil"/>
          <w:between w:val="nil"/>
          <w:bar w:val="nil"/>
        </w:pBdr>
        <w:tabs>
          <w:tab w:val="left" w:pos="5340"/>
        </w:tabs>
        <w:snapToGrid w:val="0"/>
        <w:spacing w:after="120" w:line="240" w:lineRule="auto"/>
        <w:jc w:val="both"/>
        <w:rPr>
          <w:rFonts w:cstheme="minorHAnsi"/>
          <w:szCs w:val="22"/>
          <w:lang w:val="nl-NL"/>
        </w:rPr>
      </w:pPr>
    </w:p>
    <w:p w14:paraId="57F53A3C" w14:textId="77777777" w:rsidR="009875B8" w:rsidRPr="009875B8" w:rsidRDefault="009875B8" w:rsidP="009E6864">
      <w:pPr>
        <w:pStyle w:val="Vade-mecumtitre1"/>
        <w:numPr>
          <w:ilvl w:val="0"/>
          <w:numId w:val="0"/>
        </w:numPr>
      </w:pPr>
      <w:bookmarkStart w:id="189" w:name="_Toc529699971"/>
      <w:bookmarkStart w:id="190" w:name="_Toc529700587"/>
      <w:bookmarkStart w:id="191" w:name="_Toc529747443"/>
      <w:bookmarkStart w:id="192" w:name="_Toc230687"/>
      <w:bookmarkStart w:id="193" w:name="_Toc230741"/>
      <w:bookmarkStart w:id="194" w:name="_Toc12079536"/>
      <w:bookmarkStart w:id="195" w:name="_Toc12862732"/>
      <w:bookmarkStart w:id="196" w:name="_Toc19591191"/>
      <w:bookmarkStart w:id="197" w:name="_Toc232304307"/>
      <w:bookmarkStart w:id="198" w:name="_Toc347134734"/>
      <w:bookmarkStart w:id="199" w:name="_Toc486524208"/>
      <w:bookmarkStart w:id="200" w:name="_Toc487533672"/>
      <w:bookmarkStart w:id="201" w:name="_Toc12453042"/>
      <w:bookmarkStart w:id="202" w:name="_Toc77719401"/>
      <w:bookmarkStart w:id="203" w:name="_Toc108509938"/>
      <w:bookmarkStart w:id="204" w:name="_Toc117601105"/>
      <w:r w:rsidRPr="009875B8">
        <w:lastRenderedPageBreak/>
        <w:t>A9. Offertes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5C7E37D" w14:textId="77777777" w:rsidR="009875B8" w:rsidRPr="002E704D" w:rsidRDefault="009875B8">
      <w:pPr>
        <w:pStyle w:val="Vade-mecumtitre2"/>
        <w:rPr>
          <w:lang w:val="nl-NL"/>
        </w:rPr>
      </w:pPr>
      <w:bookmarkStart w:id="205" w:name="_Toc529699972"/>
      <w:bookmarkStart w:id="206" w:name="_Toc529700588"/>
      <w:bookmarkStart w:id="207" w:name="_Toc529747444"/>
      <w:bookmarkStart w:id="208" w:name="_Toc230688"/>
      <w:bookmarkStart w:id="209" w:name="_Toc230742"/>
      <w:bookmarkStart w:id="210" w:name="_Toc12079537"/>
      <w:bookmarkStart w:id="211" w:name="_Toc12862733"/>
      <w:bookmarkStart w:id="212" w:name="_Toc19591192"/>
      <w:bookmarkStart w:id="213" w:name="_Toc232304308"/>
      <w:bookmarkStart w:id="214" w:name="_Toc347134735"/>
      <w:bookmarkStart w:id="215" w:name="_Toc486524209"/>
      <w:bookmarkStart w:id="216" w:name="_Toc487533673"/>
      <w:bookmarkStart w:id="217" w:name="_Toc12453043"/>
      <w:bookmarkStart w:id="218" w:name="_Toc108509939"/>
      <w:bookmarkStart w:id="219" w:name="_Toc113544448"/>
      <w:bookmarkStart w:id="220" w:name="_Toc114066750"/>
      <w:bookmarkStart w:id="221" w:name="_Toc115882629"/>
      <w:bookmarkStart w:id="222" w:name="_Toc117601106"/>
      <w:r w:rsidRPr="79A775EF">
        <w:rPr>
          <w:lang w:val="nl-NL"/>
        </w:rPr>
        <w:t>A9.1 In de offerte te vermelden gegevens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06F2E7F" w14:textId="77777777" w:rsidR="009875B8" w:rsidRPr="009875B8" w:rsidRDefault="009875B8" w:rsidP="009875B8">
      <w:pPr>
        <w:keepNext/>
        <w:keepLines/>
        <w:snapToGrid w:val="0"/>
        <w:spacing w:after="120" w:line="240" w:lineRule="auto"/>
        <w:ind w:firstLine="11"/>
        <w:jc w:val="both"/>
        <w:rPr>
          <w:rFonts w:cstheme="minorHAnsi"/>
          <w:szCs w:val="22"/>
          <w:lang w:val="nl-NL"/>
        </w:rPr>
      </w:pPr>
      <w:r w:rsidRPr="009875B8">
        <w:rPr>
          <w:rFonts w:cstheme="minorHAnsi"/>
          <w:szCs w:val="22"/>
          <w:lang w:val="nl-NL"/>
        </w:rPr>
        <w:t>De aandacht van de inschrijvers wordt gevestigd op de algemene principes van de artikelen 4, 5, 6, 7 en 11 van de wet van 17 juni 2016, die op deze plaatsingsprocedure van toepassing zijn.</w:t>
      </w:r>
    </w:p>
    <w:p w14:paraId="145769D3" w14:textId="77777777" w:rsidR="009875B8" w:rsidRPr="007100CA" w:rsidRDefault="009875B8" w:rsidP="009875B8">
      <w:pPr>
        <w:keepNext/>
        <w:keepLines/>
        <w:snapToGrid w:val="0"/>
        <w:spacing w:after="120" w:line="240" w:lineRule="auto"/>
        <w:ind w:firstLine="11"/>
        <w:jc w:val="both"/>
        <w:rPr>
          <w:rFonts w:cstheme="minorHAnsi"/>
          <w:szCs w:val="22"/>
          <w:lang w:val="nl-NL"/>
        </w:rPr>
      </w:pPr>
      <w:r w:rsidRPr="009875B8">
        <w:rPr>
          <w:rFonts w:cstheme="minorHAnsi"/>
          <w:szCs w:val="22"/>
          <w:lang w:val="nl-NL"/>
        </w:rPr>
        <w:t xml:space="preserve">De inschrijver wordt met aandrang verzocht om het in bijlage gevoegde offerteformulier te gebruiken. Doet hij dit niet, dan draagt hij de volle verantwoordelijkheid voor de volledige </w:t>
      </w:r>
      <w:r w:rsidRPr="007100CA">
        <w:rPr>
          <w:rFonts w:cstheme="minorHAnsi"/>
          <w:szCs w:val="22"/>
          <w:lang w:val="nl-NL"/>
        </w:rPr>
        <w:t>overeenstemming van de door hem aangewende documenten met het formulier.</w:t>
      </w:r>
    </w:p>
    <w:p w14:paraId="78837327" w14:textId="1D750B63" w:rsidR="009875B8" w:rsidRPr="009875B8" w:rsidRDefault="009875B8" w:rsidP="009875B8">
      <w:pPr>
        <w:keepNext/>
        <w:keepLines/>
        <w:snapToGrid w:val="0"/>
        <w:spacing w:after="120" w:line="240" w:lineRule="auto"/>
        <w:ind w:firstLine="11"/>
        <w:jc w:val="both"/>
        <w:rPr>
          <w:rFonts w:cstheme="minorHAnsi"/>
          <w:szCs w:val="22"/>
          <w:lang w:val="nl-NL"/>
        </w:rPr>
      </w:pPr>
      <w:r w:rsidRPr="007100CA">
        <w:rPr>
          <w:rFonts w:cstheme="minorHAnsi"/>
          <w:szCs w:val="22"/>
          <w:lang w:val="nl-NL"/>
        </w:rPr>
        <w:t xml:space="preserve">De offerte en de bijlagen gevoegd bij het offerteformulier worden opgesteld in het Nederlands, het Frans of het Engels. Offertes met secties in een van de bovenstaande talen en andere secties in een andere van deze </w:t>
      </w:r>
      <w:r w:rsidR="00FA6B1A" w:rsidRPr="007100CA">
        <w:rPr>
          <w:rFonts w:cstheme="minorHAnsi"/>
          <w:szCs w:val="22"/>
          <w:lang w:val="nl-NL"/>
        </w:rPr>
        <w:t>drie t</w:t>
      </w:r>
      <w:r w:rsidRPr="007100CA">
        <w:rPr>
          <w:rFonts w:cstheme="minorHAnsi"/>
          <w:szCs w:val="22"/>
          <w:lang w:val="nl-NL"/>
        </w:rPr>
        <w:t>alen worden ook geaccepteerd.</w:t>
      </w:r>
    </w:p>
    <w:p w14:paraId="65E5A583" w14:textId="77777777" w:rsidR="009875B8" w:rsidRPr="009875B8" w:rsidRDefault="009875B8" w:rsidP="009875B8">
      <w:pPr>
        <w:keepNext/>
        <w:keepLines/>
        <w:snapToGrid w:val="0"/>
        <w:spacing w:after="120" w:line="240" w:lineRule="auto"/>
        <w:ind w:firstLine="11"/>
        <w:jc w:val="both"/>
        <w:rPr>
          <w:rFonts w:cstheme="minorHAnsi"/>
          <w:szCs w:val="22"/>
          <w:lang w:val="nl-NL"/>
        </w:rPr>
      </w:pPr>
      <w:r w:rsidRPr="009875B8">
        <w:rPr>
          <w:rFonts w:cstheme="minorHAnsi"/>
          <w:szCs w:val="22"/>
          <w:lang w:val="nl-NL"/>
        </w:rPr>
        <w:t>De inschrijver duidt in zijn offerte duidelijk aan welke informatie vertrouwelijk is en/of betrekking heeft op technische of commerciële geheimen en dus niet mag bekendgemaakt worden door de aanbestedende overheid.</w:t>
      </w:r>
    </w:p>
    <w:p w14:paraId="360B86A8" w14:textId="77777777" w:rsidR="009875B8" w:rsidRPr="00077980" w:rsidRDefault="009875B8" w:rsidP="00077980">
      <w:pPr>
        <w:jc w:val="left"/>
        <w:rPr>
          <w:b/>
          <w:bCs/>
          <w:lang w:val="nl-NL"/>
        </w:rPr>
      </w:pPr>
      <w:bookmarkStart w:id="223" w:name="_Toc108097501"/>
      <w:bookmarkStart w:id="224" w:name="_Toc108509940"/>
      <w:bookmarkStart w:id="225" w:name="_Toc113544061"/>
      <w:r w:rsidRPr="00077980">
        <w:rPr>
          <w:b/>
          <w:bCs/>
          <w:lang w:val="nl-NL"/>
        </w:rPr>
        <w:t>De volgende inlichtingen zullen worden vermeld in de offerte:</w:t>
      </w:r>
      <w:bookmarkEnd w:id="223"/>
      <w:bookmarkEnd w:id="224"/>
      <w:bookmarkEnd w:id="225"/>
    </w:p>
    <w:p w14:paraId="73399C5E"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de globale prijs in letters en in cijfers (excl. BTW);</w:t>
      </w:r>
    </w:p>
    <w:p w14:paraId="0430AAFA"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het bedrag van de BTW;</w:t>
      </w:r>
    </w:p>
    <w:p w14:paraId="5A1BF0CA"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het totaalbedrag van de offerte in letters en in cijfers (incl. BTW);</w:t>
      </w:r>
    </w:p>
    <w:p w14:paraId="7CF16985"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 xml:space="preserve">de </w:t>
      </w:r>
      <w:r w:rsidRPr="0014256C">
        <w:rPr>
          <w:rFonts w:cstheme="minorHAnsi"/>
          <w:szCs w:val="22"/>
          <w:lang w:val="nl-NL"/>
        </w:rPr>
        <w:t>handtekening van het indieningsrapport door de bevoegde of gemandateerde persoon of personen,</w:t>
      </w:r>
      <w:r w:rsidRPr="009875B8">
        <w:rPr>
          <w:rFonts w:cstheme="minorHAnsi"/>
          <w:szCs w:val="22"/>
          <w:lang w:val="nl-NL"/>
        </w:rPr>
        <w:t xml:space="preserve"> naargelang het geval, om de inschrijver te verbinden;</w:t>
      </w:r>
    </w:p>
    <w:p w14:paraId="546A01FC"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de hoedanigheid van de persoon of van de personen, naargelang het geval, die de offerte onderteken(t)(en);</w:t>
      </w:r>
    </w:p>
    <w:p w14:paraId="08D1739D" w14:textId="77777777" w:rsidR="0014256C"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het volledige inschrijvingsnummer van de inschrijver bij de Kruispuntbank van Ondernemingen (voor de Belgische inschrijvers);</w:t>
      </w:r>
    </w:p>
    <w:p w14:paraId="4DDDACB2" w14:textId="7685DF39" w:rsidR="009410E6" w:rsidRPr="0014256C"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14256C">
        <w:rPr>
          <w:lang w:val="nl-NL"/>
        </w:rPr>
        <w:t>de technische en financiële offerte zoals gedetailleerd in deel C (zie C1. Informatie</w:t>
      </w:r>
      <w:r w:rsidR="0014256C" w:rsidRPr="0014256C">
        <w:rPr>
          <w:lang w:val="nl-NL"/>
        </w:rPr>
        <w:t>fiche</w:t>
      </w:r>
      <w:r w:rsidRPr="0014256C">
        <w:rPr>
          <w:lang w:val="nl-NL"/>
        </w:rPr>
        <w:t xml:space="preserve"> van dit bestek.</w:t>
      </w:r>
    </w:p>
    <w:p w14:paraId="18A39FA5" w14:textId="77777777" w:rsidR="009875B8" w:rsidRPr="009410E6" w:rsidRDefault="009875B8">
      <w:pPr>
        <w:pStyle w:val="Vade-mecumtitre2"/>
        <w:rPr>
          <w:lang w:val="nl-NL"/>
        </w:rPr>
      </w:pPr>
      <w:bookmarkStart w:id="226" w:name="_Toc529699973"/>
      <w:bookmarkStart w:id="227" w:name="_Toc529700589"/>
      <w:bookmarkStart w:id="228" w:name="_Toc529747445"/>
      <w:bookmarkStart w:id="229" w:name="_Toc230689"/>
      <w:bookmarkStart w:id="230" w:name="_Toc230743"/>
      <w:bookmarkStart w:id="231" w:name="_Toc12079538"/>
      <w:bookmarkStart w:id="232" w:name="_Toc12862734"/>
      <w:bookmarkStart w:id="233" w:name="_Toc19591193"/>
      <w:bookmarkStart w:id="234" w:name="_Toc232304309"/>
      <w:bookmarkStart w:id="235" w:name="_Toc347134736"/>
      <w:bookmarkStart w:id="236" w:name="_Toc486524210"/>
      <w:bookmarkStart w:id="237" w:name="_Toc487533674"/>
      <w:bookmarkStart w:id="238" w:name="_Toc12453044"/>
      <w:bookmarkStart w:id="239" w:name="_Toc108509941"/>
      <w:bookmarkStart w:id="240" w:name="_Toc113544449"/>
      <w:bookmarkStart w:id="241" w:name="_Toc114066751"/>
      <w:bookmarkStart w:id="242" w:name="_Toc115882630"/>
      <w:bookmarkStart w:id="243" w:name="_Toc117601107"/>
      <w:r w:rsidRPr="79A775EF">
        <w:rPr>
          <w:lang w:val="nl-NL"/>
        </w:rPr>
        <w:t>A9.2 Geldigheidsduur van de offerte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B99E13C" w14:textId="442CAF58" w:rsidR="009410E6" w:rsidRPr="009875B8" w:rsidRDefault="009875B8" w:rsidP="009410E6">
      <w:pPr>
        <w:keepNext/>
        <w:keepLines/>
        <w:snapToGrid w:val="0"/>
        <w:spacing w:after="120" w:line="240" w:lineRule="auto"/>
        <w:ind w:firstLine="11"/>
        <w:jc w:val="both"/>
        <w:rPr>
          <w:lang w:val="nl-NL"/>
        </w:rPr>
      </w:pPr>
      <w:r w:rsidRPr="009875B8">
        <w:rPr>
          <w:lang w:val="nl-NL"/>
        </w:rPr>
        <w:t>De inschrijvers blijven gebonden door hun offerte gedurende een termijn v</w:t>
      </w:r>
      <w:r w:rsidRPr="007100CA">
        <w:rPr>
          <w:lang w:val="nl-NL"/>
        </w:rPr>
        <w:t xml:space="preserve">an </w:t>
      </w:r>
      <w:r w:rsidR="005168BD" w:rsidRPr="007100CA">
        <w:rPr>
          <w:lang w:val="nl-NL"/>
        </w:rPr>
        <w:t>100</w:t>
      </w:r>
      <w:r w:rsidR="005168BD">
        <w:rPr>
          <w:lang w:val="nl-NL"/>
        </w:rPr>
        <w:t xml:space="preserve"> </w:t>
      </w:r>
      <w:r w:rsidRPr="009875B8">
        <w:rPr>
          <w:lang w:val="nl-NL"/>
        </w:rPr>
        <w:t xml:space="preserve">  kalenderdagen, ingaande de dag na de uiterste datum voor de ontvangst van de offertes.</w:t>
      </w:r>
    </w:p>
    <w:p w14:paraId="660045B7" w14:textId="77777777" w:rsidR="009410E6" w:rsidRDefault="009410E6">
      <w:pPr>
        <w:pStyle w:val="Vade-mecumtitre2"/>
        <w:rPr>
          <w:lang w:val="nl-NL"/>
        </w:rPr>
      </w:pPr>
      <w:bookmarkStart w:id="244" w:name="_Toc108509942"/>
    </w:p>
    <w:p w14:paraId="4FE5DAB1" w14:textId="014F9B2A" w:rsidR="009875B8" w:rsidRPr="009410E6" w:rsidRDefault="009875B8">
      <w:pPr>
        <w:pStyle w:val="Vade-mecumtitre2"/>
        <w:rPr>
          <w:lang w:val="nl-NL"/>
        </w:rPr>
      </w:pPr>
      <w:bookmarkStart w:id="245" w:name="_Toc113544450"/>
      <w:bookmarkStart w:id="246" w:name="_Toc114066752"/>
      <w:bookmarkStart w:id="247" w:name="_Toc115882631"/>
      <w:bookmarkStart w:id="248" w:name="_Toc117601108"/>
      <w:r w:rsidRPr="79A775EF">
        <w:rPr>
          <w:lang w:val="nl-NL"/>
        </w:rPr>
        <w:t xml:space="preserve">A9.3 </w:t>
      </w:r>
      <w:bookmarkStart w:id="249" w:name="_Toc529699974"/>
      <w:bookmarkStart w:id="250" w:name="_Toc529700590"/>
      <w:bookmarkStart w:id="251" w:name="_Toc529747446"/>
      <w:bookmarkStart w:id="252" w:name="_Toc230690"/>
      <w:bookmarkStart w:id="253" w:name="_Toc230744"/>
      <w:bookmarkStart w:id="254" w:name="_Toc12079539"/>
      <w:bookmarkStart w:id="255" w:name="_Toc12862735"/>
      <w:bookmarkStart w:id="256" w:name="_Toc19591194"/>
      <w:bookmarkStart w:id="257" w:name="_Toc232304310"/>
      <w:bookmarkStart w:id="258" w:name="_Toc347134737"/>
      <w:bookmarkStart w:id="259" w:name="_Toc486524211"/>
      <w:bookmarkStart w:id="260" w:name="_Toc487533675"/>
      <w:bookmarkStart w:id="261" w:name="_Toc12453045"/>
      <w:r w:rsidRPr="79A775EF">
        <w:rPr>
          <w:lang w:val="nl-NL"/>
        </w:rPr>
        <w:t>Bij de offerte te voegen stalen, documenten en bescheiden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40039B6E" w14:textId="77777777" w:rsidR="009875B8" w:rsidRPr="009875B8" w:rsidRDefault="009875B8" w:rsidP="009875B8">
      <w:pPr>
        <w:keepNext/>
        <w:keepLines/>
        <w:snapToGrid w:val="0"/>
        <w:spacing w:after="120" w:line="240" w:lineRule="auto"/>
        <w:ind w:firstLine="11"/>
        <w:jc w:val="both"/>
        <w:rPr>
          <w:rFonts w:cstheme="minorHAnsi"/>
          <w:szCs w:val="22"/>
          <w:lang w:val="nl-NL"/>
        </w:rPr>
      </w:pPr>
      <w:r w:rsidRPr="009875B8">
        <w:rPr>
          <w:rFonts w:cstheme="minorHAnsi"/>
          <w:szCs w:val="22"/>
          <w:lang w:val="nl-NL"/>
        </w:rPr>
        <w:t>De inschrijvers voegen bij hun offerte:</w:t>
      </w:r>
    </w:p>
    <w:p w14:paraId="627E2994" w14:textId="49898EB0" w:rsidR="009875B8" w:rsidRPr="009875B8" w:rsidRDefault="009875B8" w:rsidP="79A775EF">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lang w:val="nl-NL"/>
        </w:rPr>
      </w:pPr>
      <w:r w:rsidRPr="79A775EF">
        <w:rPr>
          <w:lang w:val="nl-NL"/>
        </w:rPr>
        <w:t>alle documenten gevraagd in het kader van de selectiecriteria, uitsluitingsgronden al naargelang het geval, en gunningscriteria</w:t>
      </w:r>
      <w:r w:rsidR="00AB0A50" w:rsidRPr="79A775EF">
        <w:rPr>
          <w:lang w:val="nl-NL"/>
        </w:rPr>
        <w:t xml:space="preserve"> </w:t>
      </w:r>
      <w:r w:rsidRPr="79A775EF">
        <w:rPr>
          <w:lang w:val="nl-NL"/>
        </w:rPr>
        <w:t>(</w:t>
      </w:r>
      <w:r w:rsidRPr="007100CA">
        <w:rPr>
          <w:lang w:val="nl-NL"/>
        </w:rPr>
        <w:t>zie hieronder, punt A</w:t>
      </w:r>
      <w:r w:rsidR="19875D84" w:rsidRPr="007100CA">
        <w:rPr>
          <w:lang w:val="nl-NL"/>
        </w:rPr>
        <w:t>11</w:t>
      </w:r>
      <w:r w:rsidRPr="007100CA">
        <w:rPr>
          <w:lang w:val="nl-NL"/>
        </w:rPr>
        <w:t>);</w:t>
      </w:r>
    </w:p>
    <w:p w14:paraId="1D0E0F73"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de statuten en alle andere nuttige documenten die de bevoegdheid van de ondergetekende(n) bewijzen.</w:t>
      </w:r>
    </w:p>
    <w:p w14:paraId="3F736BD8" w14:textId="77777777" w:rsidR="009875B8" w:rsidRPr="009875B8" w:rsidRDefault="009875B8" w:rsidP="005168BD">
      <w:pPr>
        <w:pStyle w:val="Vade-mecumtitre1"/>
        <w:numPr>
          <w:ilvl w:val="0"/>
          <w:numId w:val="0"/>
        </w:numPr>
        <w:ind w:left="432" w:hanging="432"/>
      </w:pPr>
      <w:bookmarkStart w:id="262" w:name="_Toc232305918"/>
      <w:bookmarkStart w:id="263" w:name="_Toc19591195"/>
      <w:bookmarkStart w:id="264" w:name="_Toc12862736"/>
      <w:bookmarkStart w:id="265" w:name="_Toc12079540"/>
      <w:bookmarkStart w:id="266" w:name="_Toc230745"/>
      <w:bookmarkStart w:id="267" w:name="_Toc230691"/>
      <w:bookmarkStart w:id="268" w:name="_Toc529747447"/>
      <w:bookmarkStart w:id="269" w:name="_Toc529700591"/>
      <w:bookmarkStart w:id="270" w:name="_Toc529699975"/>
      <w:bookmarkStart w:id="271" w:name="_Toc347134738"/>
      <w:bookmarkStart w:id="272" w:name="_Toc486524212"/>
      <w:bookmarkStart w:id="273" w:name="_Toc487533676"/>
      <w:bookmarkStart w:id="274" w:name="_Toc12453046"/>
      <w:bookmarkStart w:id="275" w:name="_Toc77719402"/>
      <w:bookmarkStart w:id="276" w:name="_Toc108509943"/>
      <w:bookmarkStart w:id="277" w:name="_Toc117601109"/>
      <w:r w:rsidRPr="009875B8">
        <w:lastRenderedPageBreak/>
        <w:t>A10. Prijzen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49FD18BB" w14:textId="77777777" w:rsidR="009875B8" w:rsidRPr="009875B8" w:rsidRDefault="009875B8">
      <w:pPr>
        <w:pStyle w:val="Vade-mecumtitre2"/>
      </w:pPr>
      <w:bookmarkStart w:id="278" w:name="_Toc232305919"/>
      <w:bookmarkStart w:id="279" w:name="_Toc19591196"/>
      <w:bookmarkStart w:id="280" w:name="_Toc12862737"/>
      <w:bookmarkStart w:id="281" w:name="_Toc12079541"/>
      <w:bookmarkStart w:id="282" w:name="_Toc230746"/>
      <w:bookmarkStart w:id="283" w:name="_Toc230692"/>
      <w:bookmarkStart w:id="284" w:name="_Toc529747448"/>
      <w:bookmarkStart w:id="285" w:name="_Toc529700592"/>
      <w:bookmarkStart w:id="286" w:name="_Toc529699976"/>
      <w:bookmarkStart w:id="287" w:name="_Toc347134739"/>
      <w:bookmarkStart w:id="288" w:name="_Toc486524213"/>
      <w:bookmarkStart w:id="289" w:name="_Toc487533677"/>
      <w:bookmarkStart w:id="290" w:name="_Toc12453047"/>
      <w:bookmarkStart w:id="291" w:name="_Toc108509944"/>
      <w:bookmarkStart w:id="292" w:name="_Toc113544452"/>
      <w:bookmarkStart w:id="293" w:name="_Toc114066754"/>
      <w:bookmarkStart w:id="294" w:name="_Toc115882633"/>
      <w:bookmarkStart w:id="295" w:name="_Toc117601110"/>
      <w:r>
        <w:t>A10.1 Prijzen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0DAAA0EB" w14:textId="77777777" w:rsidR="009875B8" w:rsidRPr="009875B8" w:rsidRDefault="009875B8" w:rsidP="009875B8">
      <w:pPr>
        <w:snapToGrid w:val="0"/>
        <w:spacing w:after="120" w:line="240" w:lineRule="auto"/>
        <w:ind w:firstLine="11"/>
        <w:jc w:val="both"/>
        <w:rPr>
          <w:rFonts w:cstheme="minorHAnsi"/>
          <w:szCs w:val="22"/>
          <w:lang w:val="nl-NL"/>
        </w:rPr>
      </w:pPr>
      <w:r w:rsidRPr="009875B8">
        <w:rPr>
          <w:rFonts w:cstheme="minorHAnsi"/>
          <w:szCs w:val="22"/>
          <w:lang w:val="nl-NL"/>
        </w:rPr>
        <w:t>Alle prijzen vermeld in het offerteformulier worden verplicht uitgedrukt in EURO.</w:t>
      </w:r>
    </w:p>
    <w:p w14:paraId="65EC08D2" w14:textId="77777777" w:rsidR="009875B8" w:rsidRPr="009875B8" w:rsidRDefault="009875B8" w:rsidP="009875B8">
      <w:pPr>
        <w:snapToGrid w:val="0"/>
        <w:spacing w:after="120" w:line="240" w:lineRule="auto"/>
        <w:ind w:firstLine="11"/>
        <w:jc w:val="both"/>
        <w:rPr>
          <w:rFonts w:cstheme="minorHAnsi"/>
          <w:szCs w:val="22"/>
          <w:lang w:val="nl-NL"/>
        </w:rPr>
      </w:pPr>
      <w:r w:rsidRPr="00F83E78">
        <w:rPr>
          <w:rFonts w:cstheme="minorHAnsi"/>
          <w:szCs w:val="22"/>
          <w:lang w:val="nl-NL"/>
        </w:rPr>
        <w:t>Dit is een opdracht tegen globale prijs, wat betekent dat de globale prijs forfaitair is.</w:t>
      </w:r>
    </w:p>
    <w:p w14:paraId="2B1B5BFF" w14:textId="77777777" w:rsidR="009875B8" w:rsidRPr="009875B8" w:rsidRDefault="009875B8" w:rsidP="009875B8">
      <w:pPr>
        <w:snapToGrid w:val="0"/>
        <w:spacing w:after="120" w:line="240" w:lineRule="auto"/>
        <w:ind w:firstLine="11"/>
        <w:jc w:val="both"/>
        <w:rPr>
          <w:rFonts w:cstheme="minorHAnsi"/>
          <w:szCs w:val="22"/>
          <w:lang w:val="nl-NL"/>
        </w:rPr>
      </w:pPr>
      <w:r w:rsidRPr="009875B8">
        <w:rPr>
          <w:rFonts w:cstheme="minorHAnsi"/>
          <w:szCs w:val="22"/>
          <w:lang w:val="nl-NL"/>
        </w:rPr>
        <w:t>De opdrachtnemer wordt geacht in zijn eenheidsprijs alle mogelijke kosten die op de diensten wegen te hebben begrepen, met uitzondering van de BTW.</w:t>
      </w:r>
    </w:p>
    <w:p w14:paraId="53A51B34" w14:textId="3F08D325" w:rsidR="009875B8" w:rsidRPr="009875B8" w:rsidRDefault="009875B8" w:rsidP="009875B8">
      <w:pPr>
        <w:snapToGrid w:val="0"/>
        <w:spacing w:after="120" w:line="240" w:lineRule="auto"/>
        <w:ind w:firstLine="11"/>
        <w:jc w:val="both"/>
        <w:rPr>
          <w:lang w:val="nl-NL"/>
        </w:rPr>
      </w:pPr>
      <w:r w:rsidRPr="00D02A36">
        <w:rPr>
          <w:lang w:val="nl-NL"/>
        </w:rPr>
        <w:t xml:space="preserve">Voor een overzicht van de kosten die in de prijs moeten worden opgenomen, wordt verwezen naar punt </w:t>
      </w:r>
      <w:r w:rsidR="0014256C" w:rsidRPr="00D02A36">
        <w:rPr>
          <w:lang w:val="nl-NL"/>
        </w:rPr>
        <w:t>C1. Informatiefiche – technische en financiële offerte.</w:t>
      </w:r>
    </w:p>
    <w:p w14:paraId="0011845E" w14:textId="77777777" w:rsidR="009875B8" w:rsidRPr="009875B8" w:rsidRDefault="009875B8">
      <w:pPr>
        <w:pStyle w:val="Vade-mecumtitre2"/>
      </w:pPr>
      <w:bookmarkStart w:id="296" w:name="_Toc486513976"/>
      <w:bookmarkStart w:id="297" w:name="_Toc487533678"/>
      <w:bookmarkStart w:id="298" w:name="_Toc12453048"/>
      <w:bookmarkStart w:id="299" w:name="_Toc108509945"/>
      <w:bookmarkStart w:id="300" w:name="_Toc113544453"/>
      <w:bookmarkStart w:id="301" w:name="_Toc114066755"/>
      <w:bookmarkStart w:id="302" w:name="_Toc115882634"/>
      <w:bookmarkStart w:id="303" w:name="_Toc117601111"/>
      <w:r>
        <w:t>A10.2 Prijsherzienin</w:t>
      </w:r>
      <w:bookmarkEnd w:id="296"/>
      <w:r>
        <w:t>g</w:t>
      </w:r>
      <w:bookmarkEnd w:id="297"/>
      <w:bookmarkEnd w:id="298"/>
      <w:bookmarkEnd w:id="299"/>
      <w:bookmarkEnd w:id="300"/>
      <w:bookmarkEnd w:id="301"/>
      <w:bookmarkEnd w:id="302"/>
      <w:bookmarkEnd w:id="303"/>
    </w:p>
    <w:p w14:paraId="3B0FC1E5" w14:textId="77777777" w:rsidR="009875B8" w:rsidRPr="009875B8" w:rsidRDefault="009875B8" w:rsidP="009875B8">
      <w:pPr>
        <w:snapToGrid w:val="0"/>
        <w:spacing w:after="120"/>
        <w:ind w:firstLine="11"/>
        <w:jc w:val="both"/>
        <w:rPr>
          <w:rFonts w:cstheme="minorHAnsi"/>
          <w:szCs w:val="22"/>
          <w:lang w:val="nl-NL"/>
        </w:rPr>
      </w:pPr>
      <w:r w:rsidRPr="009875B8">
        <w:rPr>
          <w:rFonts w:cstheme="minorHAnsi"/>
          <w:szCs w:val="22"/>
          <w:lang w:val="nl-NL"/>
        </w:rPr>
        <w:t>Voor de onderhavige opdracht is geen prijsherziening van toepassing.</w:t>
      </w:r>
    </w:p>
    <w:p w14:paraId="668E4D6D" w14:textId="64355699" w:rsidR="009875B8" w:rsidRPr="009875B8" w:rsidRDefault="009875B8" w:rsidP="005168BD">
      <w:pPr>
        <w:pStyle w:val="Vade-mecumtitre1"/>
        <w:numPr>
          <w:ilvl w:val="0"/>
          <w:numId w:val="0"/>
        </w:numPr>
        <w:ind w:left="432" w:hanging="432"/>
      </w:pPr>
      <w:bookmarkStart w:id="304" w:name="_Toc529699979"/>
      <w:bookmarkStart w:id="305" w:name="_Toc529700595"/>
      <w:bookmarkStart w:id="306" w:name="_Toc529747451"/>
      <w:bookmarkStart w:id="307" w:name="_Toc230695"/>
      <w:bookmarkStart w:id="308" w:name="_Toc230749"/>
      <w:bookmarkStart w:id="309" w:name="_Toc12079544"/>
      <w:bookmarkStart w:id="310" w:name="_Toc12862740"/>
      <w:bookmarkStart w:id="311" w:name="_Toc19591199"/>
      <w:bookmarkStart w:id="312" w:name="_Toc232304315"/>
      <w:bookmarkStart w:id="313" w:name="_Toc347134744"/>
      <w:bookmarkStart w:id="314" w:name="_Toc486524218"/>
      <w:bookmarkStart w:id="315" w:name="_Toc487533679"/>
      <w:bookmarkStart w:id="316" w:name="_Toc12453049"/>
      <w:bookmarkStart w:id="317" w:name="_Toc77719403"/>
      <w:bookmarkStart w:id="318" w:name="_Toc108509946"/>
      <w:bookmarkStart w:id="319" w:name="_Toc117601112"/>
      <w:r w:rsidRPr="009875B8">
        <w:t xml:space="preserve">A11. </w:t>
      </w:r>
      <w:r w:rsidR="00385621">
        <w:t>Selectie</w:t>
      </w:r>
      <w:r w:rsidRPr="009875B8">
        <w:t xml:space="preserve"> - Regelmatigheid van de</w:t>
      </w:r>
      <w:r w:rsidR="005168BD">
        <w:t xml:space="preserve"> </w:t>
      </w:r>
      <w:r w:rsidRPr="009875B8">
        <w:t>offertes – Gunningscriteria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5976D5F4" w14:textId="460FA164" w:rsidR="008C1DFC" w:rsidRDefault="009875B8">
      <w:pPr>
        <w:pStyle w:val="Vade-mecumtitre2"/>
      </w:pPr>
      <w:bookmarkStart w:id="320" w:name="_Toc487533680"/>
      <w:bookmarkStart w:id="321" w:name="_Toc12453050"/>
      <w:bookmarkStart w:id="322" w:name="_Toc113544455"/>
      <w:bookmarkStart w:id="323" w:name="_Toc114066757"/>
      <w:bookmarkStart w:id="324" w:name="_Toc115882636"/>
      <w:bookmarkStart w:id="325" w:name="_Toc117601113"/>
      <w:bookmarkStart w:id="326" w:name="_Toc108509947"/>
      <w:bookmarkStart w:id="327" w:name="_Toc486524220"/>
      <w:bookmarkStart w:id="328" w:name="_Toc486524219"/>
      <w:bookmarkStart w:id="329" w:name="_Toc529699980"/>
      <w:bookmarkStart w:id="330" w:name="_Toc529700596"/>
      <w:bookmarkStart w:id="331" w:name="_Toc529747452"/>
      <w:bookmarkStart w:id="332" w:name="_Toc230696"/>
      <w:bookmarkStart w:id="333" w:name="_Toc230750"/>
      <w:bookmarkStart w:id="334" w:name="_Toc12079545"/>
      <w:bookmarkStart w:id="335" w:name="_Toc12862741"/>
      <w:bookmarkStart w:id="336" w:name="_Toc19591200"/>
      <w:bookmarkStart w:id="337" w:name="_Toc232304316"/>
      <w:bookmarkStart w:id="338" w:name="_Toc347134745"/>
      <w:r>
        <w:t xml:space="preserve">A11.1 </w:t>
      </w:r>
      <w:bookmarkEnd w:id="320"/>
      <w:bookmarkEnd w:id="321"/>
      <w:r w:rsidR="008C1DFC">
        <w:t>De selectie</w:t>
      </w:r>
      <w:bookmarkEnd w:id="322"/>
      <w:bookmarkEnd w:id="323"/>
      <w:bookmarkEnd w:id="324"/>
      <w:bookmarkEnd w:id="325"/>
    </w:p>
    <w:p w14:paraId="5341B310" w14:textId="77777777" w:rsidR="005E4F5A" w:rsidRPr="005E4F5A" w:rsidRDefault="005E4F5A" w:rsidP="005E4F5A">
      <w:pPr>
        <w:snapToGrid w:val="0"/>
        <w:spacing w:after="120" w:line="240" w:lineRule="auto"/>
        <w:jc w:val="both"/>
        <w:rPr>
          <w:lang w:val="nl-NL"/>
        </w:rPr>
      </w:pPr>
      <w:bookmarkStart w:id="339" w:name="_Toc487533682"/>
      <w:bookmarkEnd w:id="326"/>
      <w:bookmarkEnd w:id="327"/>
      <w:bookmarkEnd w:id="328"/>
      <w:bookmarkEnd w:id="329"/>
      <w:bookmarkEnd w:id="330"/>
      <w:bookmarkEnd w:id="331"/>
      <w:bookmarkEnd w:id="332"/>
      <w:bookmarkEnd w:id="333"/>
      <w:bookmarkEnd w:id="334"/>
      <w:bookmarkEnd w:id="335"/>
      <w:bookmarkEnd w:id="336"/>
      <w:bookmarkEnd w:id="337"/>
      <w:bookmarkEnd w:id="338"/>
      <w:r w:rsidRPr="005E4F5A">
        <w:rPr>
          <w:lang w:val="nl-NL"/>
        </w:rPr>
        <w:t>De inschrijvers worden geëvalueerd op basis van de selectiecriteria hieronder opgenomen.</w:t>
      </w:r>
    </w:p>
    <w:p w14:paraId="1A7F483A" w14:textId="01FE987A" w:rsidR="005E4F5A" w:rsidRPr="005E4F5A" w:rsidRDefault="005E4F5A" w:rsidP="005E4F5A">
      <w:pPr>
        <w:snapToGrid w:val="0"/>
        <w:spacing w:after="120" w:line="240" w:lineRule="auto"/>
        <w:ind w:firstLine="11"/>
        <w:jc w:val="both"/>
        <w:rPr>
          <w:lang w:val="nl-NL"/>
        </w:rPr>
      </w:pPr>
      <w:r w:rsidRPr="79A775EF">
        <w:rPr>
          <w:lang w:val="nl-NL"/>
        </w:rPr>
        <w:t>Enkel de offertes van de inschrijvers die voldoen aan de selectiecriteria zoals hieronder vermeld, worden in aanmerking genomen om deel te nemen aan de vergelijking van de offertes o.b.v. de gunningscriteria vermeld in dit bestek, voor zover de ingediende offertes regelmatig zijn.</w:t>
      </w:r>
    </w:p>
    <w:p w14:paraId="2002A3A0" w14:textId="77777777" w:rsidR="005E4F5A" w:rsidRPr="005E4F5A" w:rsidRDefault="005E4F5A" w:rsidP="005E4F5A">
      <w:pPr>
        <w:snapToGrid w:val="0"/>
        <w:spacing w:after="120" w:line="240" w:lineRule="auto"/>
        <w:ind w:firstLine="11"/>
        <w:jc w:val="both"/>
        <w:rPr>
          <w:lang w:val="nl-NL"/>
        </w:rPr>
      </w:pPr>
      <w:r w:rsidRPr="005E4F5A">
        <w:rPr>
          <w:lang w:val="nl-NL"/>
        </w:rPr>
        <w:t>Door het indienen van zijn offerte, vergezeld van het Uniform Europees Aanbestedingsdocument (UEA), verklaart de inschrijver officieel op eer:</w:t>
      </w:r>
    </w:p>
    <w:p w14:paraId="204C00B3" w14:textId="77777777" w:rsidR="005E4F5A" w:rsidRPr="005E4F5A" w:rsidRDefault="005E4F5A" w:rsidP="005E4F5A">
      <w:pPr>
        <w:snapToGrid w:val="0"/>
        <w:spacing w:after="120" w:line="240" w:lineRule="auto"/>
        <w:ind w:firstLine="11"/>
        <w:jc w:val="both"/>
        <w:rPr>
          <w:lang w:val="nl-NL"/>
        </w:rPr>
      </w:pPr>
      <w:r w:rsidRPr="005E4F5A">
        <w:rPr>
          <w:lang w:val="nl-NL"/>
        </w:rPr>
        <w:t>1°</w:t>
      </w:r>
      <w:r w:rsidRPr="005E4F5A">
        <w:rPr>
          <w:lang w:val="nl-NL"/>
        </w:rPr>
        <w:tab/>
        <w:t xml:space="preserve">dat hij zich niet in een van de verplichte of facultatieve uitsluitingsgevallen bevindt, waardoor hij moet of kan uitgesloten worden; </w:t>
      </w:r>
    </w:p>
    <w:p w14:paraId="1EC3A91F" w14:textId="77777777" w:rsidR="005E4F5A" w:rsidRPr="005E4F5A" w:rsidRDefault="005E4F5A" w:rsidP="005E4F5A">
      <w:pPr>
        <w:snapToGrid w:val="0"/>
        <w:spacing w:after="120" w:line="240" w:lineRule="auto"/>
        <w:ind w:firstLine="11"/>
        <w:jc w:val="both"/>
        <w:rPr>
          <w:lang w:val="nl-NL"/>
        </w:rPr>
      </w:pPr>
      <w:r w:rsidRPr="005E4F5A">
        <w:rPr>
          <w:lang w:val="nl-NL"/>
        </w:rPr>
        <w:t>2°</w:t>
      </w:r>
      <w:r w:rsidRPr="005E4F5A">
        <w:rPr>
          <w:lang w:val="nl-NL"/>
        </w:rPr>
        <w:tab/>
        <w:t>dat hij beantwoordt aan de selectiecriteria door de aanbestedende overheid voor deze opdracht werden opgesteld.</w:t>
      </w:r>
    </w:p>
    <w:p w14:paraId="533BD8C9" w14:textId="77777777" w:rsidR="005E4F5A" w:rsidRPr="005E4F5A" w:rsidRDefault="005E4F5A" w:rsidP="005E4F5A">
      <w:pPr>
        <w:snapToGrid w:val="0"/>
        <w:spacing w:after="120" w:line="240" w:lineRule="auto"/>
        <w:ind w:firstLine="11"/>
        <w:jc w:val="both"/>
        <w:rPr>
          <w:lang w:val="nl-NL"/>
        </w:rPr>
      </w:pPr>
      <w:r w:rsidRPr="005E4F5A">
        <w:rPr>
          <w:lang w:val="nl-NL"/>
        </w:rPr>
        <w:t>De aanbestedende overheid kan de kandidaat tijdens de procedure te allen tijde verzoeken de vereiste ondersteunende documenten geheel of gedeeltelijk in te dienen wanneer dit noodzakelijk is voor het goede verloop van de procedure.</w:t>
      </w:r>
    </w:p>
    <w:p w14:paraId="13F8CC93" w14:textId="4252692E" w:rsidR="009875B8" w:rsidRDefault="005E4F5A" w:rsidP="005E4F5A">
      <w:pPr>
        <w:snapToGrid w:val="0"/>
        <w:spacing w:after="120" w:line="240" w:lineRule="auto"/>
        <w:ind w:firstLine="11"/>
        <w:jc w:val="both"/>
        <w:rPr>
          <w:lang w:val="nl-NL"/>
        </w:rPr>
      </w:pPr>
      <w:r w:rsidRPr="005E4F5A">
        <w:rPr>
          <w:lang w:val="nl-NL"/>
        </w:rPr>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6E99E08D" w14:textId="15C274D0" w:rsidR="00394D14" w:rsidRDefault="00394D14" w:rsidP="005E4F5A">
      <w:pPr>
        <w:snapToGrid w:val="0"/>
        <w:spacing w:after="120" w:line="240" w:lineRule="auto"/>
        <w:ind w:firstLine="11"/>
        <w:jc w:val="both"/>
        <w:rPr>
          <w:lang w:val="nl-NL"/>
        </w:rPr>
      </w:pPr>
      <w:r w:rsidRPr="00394D14">
        <w:rPr>
          <w:lang w:val="nl-NL"/>
        </w:rPr>
        <w:t xml:space="preserve">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op eigen initiatief, dat hij eventuele schade als gevolg van strafrechtelijke inbreuken of fouten heeft betaald of heeft toegezegd te zullen vergoeden, dat hij feiten en </w:t>
      </w:r>
      <w:r w:rsidRPr="00394D14">
        <w:rPr>
          <w:lang w:val="nl-NL"/>
        </w:rPr>
        <w:lastRenderedPageBreak/>
        <w:t>omstandigheden heeft opgehelderd door actief mee te werken met de onderzoekend autoriteiten en dat hij concrete technische, organisatorische en personeelsmaatregelen heeft genomen teneinde een nieuwe strafrechtelijke inbreuk of fout te voorkomen.</w:t>
      </w:r>
    </w:p>
    <w:p w14:paraId="24492D1D" w14:textId="10C5E251" w:rsidR="005E4F5A" w:rsidRPr="009875B8" w:rsidRDefault="005E4F5A">
      <w:pPr>
        <w:pStyle w:val="Vade-mecumtitre3"/>
      </w:pPr>
      <w:bookmarkStart w:id="340" w:name="_Toc113544456"/>
      <w:bookmarkStart w:id="341" w:name="_Toc114066758"/>
      <w:bookmarkStart w:id="342" w:name="_Toc115882637"/>
      <w:bookmarkStart w:id="343" w:name="_Toc117601114"/>
      <w:r>
        <w:t>A11.1.1 Uitsluitingscriteria</w:t>
      </w:r>
      <w:bookmarkEnd w:id="340"/>
      <w:bookmarkEnd w:id="341"/>
      <w:bookmarkEnd w:id="342"/>
      <w:bookmarkEnd w:id="343"/>
    </w:p>
    <w:p w14:paraId="4ACCDCB9" w14:textId="77777777" w:rsidR="009875B8" w:rsidRPr="00077980" w:rsidRDefault="009875B8" w:rsidP="00077980">
      <w:pPr>
        <w:jc w:val="left"/>
        <w:rPr>
          <w:b/>
          <w:bCs/>
          <w:lang w:val="nl-NL"/>
        </w:rPr>
      </w:pPr>
      <w:bookmarkStart w:id="344" w:name="_Toc106881981"/>
      <w:bookmarkStart w:id="345" w:name="_Toc107898569"/>
      <w:bookmarkStart w:id="346" w:name="_Toc107899956"/>
      <w:bookmarkStart w:id="347" w:name="_Toc108097510"/>
      <w:bookmarkStart w:id="348" w:name="_Toc108507414"/>
      <w:bookmarkStart w:id="349" w:name="_Toc108509948"/>
      <w:bookmarkStart w:id="350" w:name="_Toc113535675"/>
      <w:bookmarkStart w:id="351" w:name="_Toc113544070"/>
      <w:bookmarkStart w:id="352" w:name="_Hlk106783687"/>
      <w:r w:rsidRPr="00077980">
        <w:rPr>
          <w:b/>
          <w:bCs/>
          <w:lang w:val="nl-NL"/>
        </w:rPr>
        <w:t>Verplichte uitsluitingsgronden</w:t>
      </w:r>
      <w:bookmarkEnd w:id="344"/>
      <w:bookmarkEnd w:id="345"/>
      <w:bookmarkEnd w:id="346"/>
      <w:bookmarkEnd w:id="347"/>
      <w:bookmarkEnd w:id="348"/>
      <w:bookmarkEnd w:id="349"/>
      <w:bookmarkEnd w:id="350"/>
      <w:bookmarkEnd w:id="351"/>
    </w:p>
    <w:bookmarkEnd w:id="352"/>
    <w:p w14:paraId="303C7D53"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theme="minorHAnsi"/>
          <w:szCs w:val="22"/>
          <w:lang w:val="nl-NL"/>
        </w:rPr>
        <w:t>1°</w:t>
      </w:r>
      <w:r w:rsidRPr="009875B8">
        <w:rPr>
          <w:rFonts w:cstheme="minorHAnsi"/>
          <w:szCs w:val="22"/>
          <w:lang w:val="nl-NL"/>
        </w:rPr>
        <w:tab/>
      </w:r>
      <w:r w:rsidRPr="009875B8">
        <w:rPr>
          <w:rFonts w:cs="Calibri"/>
          <w:szCs w:val="22"/>
          <w:lang w:val="nl-NL" w:eastAsia="nl-NL"/>
        </w:rPr>
        <w:t>deelneming aan een criminele organisatie;</w:t>
      </w:r>
    </w:p>
    <w:p w14:paraId="1BA0A402"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2°</w:t>
      </w:r>
      <w:r w:rsidRPr="009875B8">
        <w:rPr>
          <w:rFonts w:cs="Calibri"/>
          <w:szCs w:val="22"/>
          <w:lang w:val="nl-NL" w:eastAsia="nl-NL"/>
        </w:rPr>
        <w:tab/>
        <w:t>omkoping;</w:t>
      </w:r>
    </w:p>
    <w:p w14:paraId="7CC0A5CF"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3°</w:t>
      </w:r>
      <w:r w:rsidRPr="009875B8">
        <w:rPr>
          <w:rFonts w:cs="Calibri"/>
          <w:szCs w:val="22"/>
          <w:lang w:val="nl-NL" w:eastAsia="nl-NL"/>
        </w:rPr>
        <w:tab/>
        <w:t>fraude;</w:t>
      </w:r>
    </w:p>
    <w:p w14:paraId="05A5E22D"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4°</w:t>
      </w:r>
      <w:r w:rsidRPr="009875B8">
        <w:rPr>
          <w:rFonts w:cs="Calibri"/>
          <w:szCs w:val="22"/>
          <w:lang w:val="nl-NL" w:eastAsia="nl-NL"/>
        </w:rPr>
        <w:tab/>
        <w:t>terroristische misdrijven of strafbare feiten in verband met terroristische activiteiten dan wel uitlokking van, medeplichtigheid aan of poging tot het plegen van een dergelijk misdrijf of strafbaar feit;</w:t>
      </w:r>
    </w:p>
    <w:p w14:paraId="47E28215"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5°</w:t>
      </w:r>
      <w:r w:rsidRPr="009875B8">
        <w:rPr>
          <w:rFonts w:cs="Calibri"/>
          <w:szCs w:val="22"/>
          <w:lang w:val="nl-NL" w:eastAsia="nl-NL"/>
        </w:rPr>
        <w:tab/>
        <w:t>witwassen van geld of financiering van terrorisme;</w:t>
      </w:r>
    </w:p>
    <w:p w14:paraId="57A54023"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6°</w:t>
      </w:r>
      <w:r w:rsidRPr="009875B8">
        <w:rPr>
          <w:rFonts w:cs="Calibri"/>
          <w:szCs w:val="22"/>
          <w:lang w:val="nl-NL" w:eastAsia="nl-NL"/>
        </w:rPr>
        <w:tab/>
        <w:t>kinderarbeid en andere vormen van mensenhandel;</w:t>
      </w:r>
    </w:p>
    <w:p w14:paraId="799A56C1"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7°</w:t>
      </w:r>
      <w:r w:rsidRPr="009875B8">
        <w:rPr>
          <w:rFonts w:cs="Calibri"/>
          <w:szCs w:val="22"/>
          <w:lang w:val="nl-NL" w:eastAsia="nl-NL"/>
        </w:rPr>
        <w:tab/>
        <w:t>tewerkstelling van onderdanen van derde landen die illegaal in het land verblijven.</w:t>
      </w:r>
    </w:p>
    <w:p w14:paraId="30FF145D" w14:textId="77777777" w:rsidR="009875B8" w:rsidRPr="009875B8" w:rsidRDefault="009875B8" w:rsidP="009875B8">
      <w:pPr>
        <w:widowControl w:val="0"/>
        <w:snapToGrid w:val="0"/>
        <w:spacing w:before="240" w:after="120" w:line="240" w:lineRule="auto"/>
        <w:ind w:firstLine="11"/>
        <w:jc w:val="both"/>
        <w:rPr>
          <w:rFonts w:cstheme="minorHAnsi"/>
          <w:szCs w:val="22"/>
          <w:lang w:val="nl-NL"/>
        </w:rPr>
      </w:pPr>
      <w:r w:rsidRPr="009875B8">
        <w:rPr>
          <w:rFonts w:cstheme="minorHAnsi"/>
          <w:szCs w:val="22"/>
          <w:lang w:val="nl-NL"/>
        </w:rPr>
        <w:t xml:space="preserve">De in 1° tot 6° bedoelde uitsluitingen van deelname aan overheidsopdrachten gelden voor een periode van vijf jaar vanaf de datum van de veroordeling. De onder 7° bedoelde uitsluiting van deelname aan overheidsopdrachten geldt voor een periode van vijf jaar, vanaf de beëindiging van de inbreuk. </w:t>
      </w:r>
    </w:p>
    <w:p w14:paraId="44BCFD24" w14:textId="77777777"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De inschrijver die niet voldaan heeft aan zijn verplichtingen inzake betaling van zijn fiscale schulden en sociale zekerheids</w:t>
      </w:r>
      <w:r w:rsidRPr="009875B8">
        <w:rPr>
          <w:rFonts w:cstheme="minorHAnsi"/>
          <w:szCs w:val="22"/>
          <w:lang w:val="nl-NL"/>
        </w:rPr>
        <w:softHyphen/>
        <w:t>bijdragen, wordt uitgesloten van deze procedure. De toegang tot de procedure wordt evenwel niet ontzegd aan de inschrijver die:</w:t>
      </w:r>
    </w:p>
    <w:p w14:paraId="21482140" w14:textId="77777777" w:rsidR="009875B8" w:rsidRPr="009875B8" w:rsidRDefault="009875B8">
      <w:pPr>
        <w:numPr>
          <w:ilvl w:val="0"/>
          <w:numId w:val="8"/>
        </w:numPr>
        <w:tabs>
          <w:tab w:val="left" w:pos="426"/>
        </w:tabs>
        <w:snapToGrid w:val="0"/>
        <w:spacing w:after="120" w:line="240" w:lineRule="auto"/>
        <w:ind w:firstLine="11"/>
        <w:jc w:val="left"/>
        <w:rPr>
          <w:rFonts w:cstheme="minorHAnsi"/>
          <w:szCs w:val="22"/>
          <w:lang w:val="nl-NL"/>
        </w:rPr>
      </w:pPr>
      <w:r w:rsidRPr="009875B8">
        <w:rPr>
          <w:rFonts w:cstheme="minorHAnsi"/>
          <w:szCs w:val="22"/>
          <w:lang w:val="nl-NL"/>
        </w:rPr>
        <w:t>geen bijdrageschuld heeft van meer dan 3.000 euro, of</w:t>
      </w:r>
    </w:p>
    <w:p w14:paraId="67305F8D" w14:textId="45B96E28" w:rsidR="009875B8" w:rsidRPr="009875B8" w:rsidRDefault="009875B8">
      <w:pPr>
        <w:numPr>
          <w:ilvl w:val="0"/>
          <w:numId w:val="8"/>
        </w:numPr>
        <w:tabs>
          <w:tab w:val="left" w:pos="426"/>
        </w:tabs>
        <w:snapToGrid w:val="0"/>
        <w:spacing w:after="120" w:line="240" w:lineRule="auto"/>
        <w:ind w:firstLine="11"/>
        <w:jc w:val="left"/>
        <w:rPr>
          <w:rFonts w:cstheme="minorHAnsi"/>
          <w:szCs w:val="22"/>
          <w:lang w:val="nl-NL"/>
        </w:rPr>
      </w:pPr>
      <w:r w:rsidRPr="009875B8">
        <w:rPr>
          <w:rFonts w:cstheme="minorHAnsi"/>
          <w:szCs w:val="22"/>
          <w:lang w:val="nl-NL"/>
        </w:rPr>
        <w:t xml:space="preserve">die voor die schuld uitstel van betaling heeft verkregen en de afbetalingen </w:t>
      </w:r>
      <w:r w:rsidR="007100CA">
        <w:rPr>
          <w:rFonts w:cstheme="minorHAnsi"/>
          <w:szCs w:val="22"/>
          <w:lang w:val="nl-NL"/>
        </w:rPr>
        <w:t xml:space="preserve"> </w:t>
      </w:r>
      <w:r w:rsidRPr="009875B8">
        <w:rPr>
          <w:rFonts w:cstheme="minorHAnsi"/>
          <w:szCs w:val="22"/>
          <w:lang w:val="nl-NL"/>
        </w:rPr>
        <w:t>daarvan strikt in acht neemt.</w:t>
      </w:r>
    </w:p>
    <w:p w14:paraId="45CE931E" w14:textId="77777777" w:rsidR="009875B8" w:rsidRPr="009875B8" w:rsidRDefault="009875B8" w:rsidP="009875B8">
      <w:pPr>
        <w:widowControl w:val="0"/>
        <w:snapToGrid w:val="0"/>
        <w:spacing w:before="240" w:after="120" w:line="240" w:lineRule="auto"/>
        <w:ind w:firstLine="11"/>
        <w:jc w:val="both"/>
        <w:rPr>
          <w:rFonts w:cstheme="minorHAnsi"/>
          <w:szCs w:val="22"/>
          <w:lang w:val="nl-NL"/>
        </w:rPr>
      </w:pPr>
      <w:r w:rsidRPr="009875B8">
        <w:rPr>
          <w:rFonts w:cstheme="minorHAnsi"/>
          <w:szCs w:val="22"/>
          <w:lang w:val="nl-NL"/>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20EEB925" w14:textId="77777777" w:rsidR="009875B8" w:rsidRPr="009875B8" w:rsidRDefault="009875B8" w:rsidP="009875B8">
      <w:pPr>
        <w:widowControl w:val="0"/>
        <w:snapToGrid w:val="0"/>
        <w:spacing w:after="240" w:line="240" w:lineRule="auto"/>
        <w:ind w:firstLine="11"/>
        <w:jc w:val="both"/>
        <w:rPr>
          <w:rFonts w:cstheme="minorHAnsi"/>
          <w:szCs w:val="22"/>
          <w:lang w:val="nl-NL"/>
        </w:rPr>
      </w:pPr>
      <w:r w:rsidRPr="009875B8">
        <w:rPr>
          <w:rFonts w:cstheme="minorHAnsi"/>
          <w:szCs w:val="22"/>
          <w:lang w:val="nl-NL"/>
        </w:rPr>
        <w:t xml:space="preserve">Indien het attest in bezit van de aanbestedende overheid niet aantoont dat de inschrijver voldoet aan de eisen i.v. m. zijn fiscale en sociale verplichtingen, stelt zij de ondernemer hiervan in kennis. Vanaf de dag volgend op deze kennisgeving, beschikt de inschrijver over een termijn van vijf werkdagen om het bewijs te geven van zijn regularisatie. </w:t>
      </w:r>
      <w:r w:rsidRPr="009875B8">
        <w:rPr>
          <w:rFonts w:cstheme="minorHAnsi"/>
          <w:snapToGrid w:val="0"/>
          <w:szCs w:val="22"/>
          <w:lang w:val="nl-NL"/>
        </w:rPr>
        <w:t>Van deze regularisatie kan slechts éénmalig gebruik gemaakt worden.</w:t>
      </w:r>
    </w:p>
    <w:p w14:paraId="014192B8" w14:textId="77777777" w:rsidR="009875B8" w:rsidRPr="00077980" w:rsidRDefault="009875B8" w:rsidP="00077980">
      <w:pPr>
        <w:jc w:val="left"/>
        <w:rPr>
          <w:b/>
          <w:bCs/>
          <w:szCs w:val="22"/>
          <w:lang w:val="nl-NL"/>
        </w:rPr>
      </w:pPr>
      <w:bookmarkStart w:id="353" w:name="_Toc106881982"/>
      <w:bookmarkStart w:id="354" w:name="_Toc107898570"/>
      <w:bookmarkStart w:id="355" w:name="_Toc107899957"/>
      <w:bookmarkStart w:id="356" w:name="_Toc108097511"/>
      <w:bookmarkStart w:id="357" w:name="_Toc108507415"/>
      <w:bookmarkStart w:id="358" w:name="_Toc108509949"/>
      <w:bookmarkStart w:id="359" w:name="_Toc113535676"/>
      <w:bookmarkStart w:id="360" w:name="_Toc113544071"/>
      <w:r w:rsidRPr="00077980">
        <w:rPr>
          <w:b/>
          <w:bCs/>
          <w:szCs w:val="22"/>
          <w:lang w:val="nl-NL"/>
        </w:rPr>
        <w:t>Facultatieve uitsluitingsgronden</w:t>
      </w:r>
      <w:bookmarkEnd w:id="353"/>
      <w:bookmarkEnd w:id="354"/>
      <w:bookmarkEnd w:id="355"/>
      <w:bookmarkEnd w:id="356"/>
      <w:bookmarkEnd w:id="357"/>
      <w:bookmarkEnd w:id="358"/>
      <w:bookmarkEnd w:id="359"/>
      <w:bookmarkEnd w:id="360"/>
    </w:p>
    <w:p w14:paraId="4BA63AE4"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theme="minorHAnsi"/>
          <w:sz w:val="20"/>
          <w:szCs w:val="20"/>
          <w:lang w:val="nl-NL"/>
        </w:rPr>
        <w:t>1°</w:t>
      </w:r>
      <w:r w:rsidRPr="009875B8">
        <w:rPr>
          <w:rFonts w:cstheme="minorHAnsi"/>
          <w:szCs w:val="22"/>
          <w:lang w:val="nl-NL"/>
        </w:rPr>
        <w:tab/>
      </w:r>
      <w:r w:rsidRPr="009875B8">
        <w:rPr>
          <w:rFonts w:cs="Calibri"/>
          <w:szCs w:val="22"/>
          <w:lang w:val="nl-NL" w:eastAsia="nl-NL"/>
        </w:rPr>
        <w:t xml:space="preserve">indien de aanbestedende overheid met elk passend middel aantoont dat de inschrijver de verplichtingen op het vlak van het milieu-, sociaal en arbeidsrecht heeft geschonden; </w:t>
      </w:r>
    </w:p>
    <w:p w14:paraId="432E1073"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2°</w:t>
      </w:r>
      <w:r w:rsidRPr="009875B8">
        <w:rPr>
          <w:rFonts w:cs="Calibri"/>
          <w:szCs w:val="22"/>
          <w:lang w:val="nl-NL" w:eastAsia="nl-NL"/>
        </w:rPr>
        <w:tab/>
        <w:t>wanneer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5939E5FD"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lastRenderedPageBreak/>
        <w:t>3°</w:t>
      </w:r>
      <w:r w:rsidRPr="009875B8">
        <w:rPr>
          <w:rFonts w:cs="Calibri"/>
          <w:szCs w:val="22"/>
          <w:lang w:val="nl-NL" w:eastAsia="nl-NL"/>
        </w:rPr>
        <w:tab/>
        <w:t>wanneer de aanbestedende overheid kan aantonen, met elk passend middel, dat inschrijver in de uitoefening van zijn beroep een ernstige fout heeft begaan, waardoor zijn integriteit in twijfel kan worden getrokken;</w:t>
      </w:r>
    </w:p>
    <w:p w14:paraId="1D390F6D"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4°</w:t>
      </w:r>
      <w:r w:rsidRPr="009875B8">
        <w:rPr>
          <w:rFonts w:cs="Calibri"/>
          <w:szCs w:val="22"/>
          <w:lang w:val="nl-NL" w:eastAsia="nl-NL"/>
        </w:rPr>
        <w:tab/>
        <w:t>wanneer de aanbestedende overheid over voldoende plausibele aanwijzingen beschikt om te besluiten dat inschrijver handelingen zou hebben gesteld, overeenkomsten zou hebben gesloten of afspraken zou hebben gemaakt, die gericht zijn op vervalsing van de mededinging;</w:t>
      </w:r>
    </w:p>
    <w:p w14:paraId="31118D62"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5°</w:t>
      </w:r>
      <w:r w:rsidRPr="009875B8">
        <w:rPr>
          <w:rFonts w:cs="Calibri"/>
          <w:szCs w:val="22"/>
          <w:lang w:val="nl-NL" w:eastAsia="nl-NL"/>
        </w:rPr>
        <w:tab/>
        <w:t>wanneer een belangenconflict in de zin van artikel 6 van de wet niet effectief kan worden verholpen met andere minder ingrijpende maatregelen;</w:t>
      </w:r>
    </w:p>
    <w:p w14:paraId="0969B8B4"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6°</w:t>
      </w:r>
      <w:r w:rsidRPr="009875B8">
        <w:rPr>
          <w:rFonts w:cs="Calibri"/>
          <w:szCs w:val="22"/>
          <w:lang w:val="nl-NL" w:eastAsia="nl-NL"/>
        </w:rPr>
        <w:tab/>
        <w:t>wanneer zich wegens de eerdere betrokkenheid van inschrijver bij de voorbereiding van de plaatsingsprocedure een vervalsing van de mededinging als bedoeld in artikel 52 van de wet heeft voorgedaan die niet met minder ingrijpende maatregelen kan worden verholpen;</w:t>
      </w:r>
    </w:p>
    <w:p w14:paraId="37DF8B89"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7°</w:t>
      </w:r>
      <w:r w:rsidRPr="009875B8">
        <w:rPr>
          <w:rFonts w:cs="Calibri"/>
          <w:szCs w:val="22"/>
          <w:lang w:val="nl-NL" w:eastAsia="nl-NL"/>
        </w:rPr>
        <w:tab/>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15F8DED0" w14:textId="77777777" w:rsidR="009875B8" w:rsidRPr="009875B8" w:rsidRDefault="009875B8" w:rsidP="009875B8">
      <w:pPr>
        <w:snapToGrid w:val="0"/>
        <w:spacing w:after="120" w:line="240" w:lineRule="auto"/>
        <w:ind w:left="426" w:hanging="426"/>
        <w:jc w:val="both"/>
        <w:rPr>
          <w:rFonts w:cs="Calibri"/>
          <w:szCs w:val="22"/>
          <w:lang w:val="nl-NL" w:eastAsia="nl-NL"/>
        </w:rPr>
      </w:pPr>
      <w:r w:rsidRPr="009875B8">
        <w:rPr>
          <w:rFonts w:cs="Calibri"/>
          <w:szCs w:val="22"/>
          <w:lang w:val="nl-NL" w:eastAsia="nl-NL"/>
        </w:rPr>
        <w:t>8°</w:t>
      </w:r>
      <w:r w:rsidRPr="009875B8">
        <w:rPr>
          <w:rFonts w:cs="Calibri"/>
          <w:szCs w:val="22"/>
          <w:lang w:val="nl-NL" w:eastAsia="nl-NL"/>
        </w:rPr>
        <w:tab/>
        <w:t xml:space="preserve">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 </w:t>
      </w:r>
    </w:p>
    <w:p w14:paraId="07889574" w14:textId="63837351" w:rsidR="009875B8" w:rsidRDefault="009875B8" w:rsidP="79A775EF">
      <w:pPr>
        <w:snapToGrid w:val="0"/>
        <w:spacing w:after="120" w:line="240" w:lineRule="auto"/>
        <w:ind w:left="426" w:hanging="426"/>
        <w:jc w:val="both"/>
        <w:rPr>
          <w:rFonts w:cs="Calibri"/>
          <w:lang w:val="nl-NL" w:eastAsia="nl-NL"/>
        </w:rPr>
      </w:pPr>
      <w:r w:rsidRPr="79A775EF">
        <w:rPr>
          <w:rFonts w:cs="Calibri"/>
          <w:lang w:val="nl-NL" w:eastAsia="nl-NL"/>
        </w:rPr>
        <w:t xml:space="preserve">9° </w:t>
      </w:r>
      <w:r w:rsidRPr="008B70AD">
        <w:rPr>
          <w:lang w:val="nl-NL"/>
          <w:rPrChange w:id="361" w:author="Maene Lobke - S2" w:date="2022-10-19T14:45:00Z">
            <w:rPr/>
          </w:rPrChange>
        </w:rPr>
        <w:tab/>
      </w:r>
      <w:r w:rsidRPr="79A775EF">
        <w:rPr>
          <w:rFonts w:cs="Calibri"/>
          <w:lang w:val="nl-NL" w:eastAsia="nl-NL"/>
        </w:rPr>
        <w:t>wanneer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3496896B" w14:textId="2A295CC2" w:rsidR="008062AB" w:rsidRPr="008062AB" w:rsidRDefault="008062AB">
      <w:pPr>
        <w:pStyle w:val="Vade-mecumtitre3"/>
      </w:pPr>
      <w:bookmarkStart w:id="362" w:name="_Toc113544457"/>
      <w:bookmarkStart w:id="363" w:name="_Toc114066759"/>
      <w:bookmarkStart w:id="364" w:name="_Toc115882638"/>
      <w:bookmarkStart w:id="365" w:name="_Toc117601115"/>
      <w:r w:rsidRPr="008062AB">
        <w:t>A11.1.2</w:t>
      </w:r>
      <w:r>
        <w:t xml:space="preserve"> </w:t>
      </w:r>
      <w:r w:rsidRPr="008062AB">
        <w:t>De kwalitatieve selectie</w:t>
      </w:r>
      <w:bookmarkEnd w:id="362"/>
      <w:bookmarkEnd w:id="363"/>
      <w:bookmarkEnd w:id="364"/>
      <w:bookmarkEnd w:id="365"/>
    </w:p>
    <w:p w14:paraId="0E2298E1" w14:textId="77777777" w:rsidR="008062AB" w:rsidRPr="008062AB" w:rsidRDefault="008062AB" w:rsidP="008062AB">
      <w:pPr>
        <w:widowControl w:val="0"/>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 xml:space="preserve">Wanneer een </w:t>
      </w:r>
      <w:r w:rsidRPr="008062AB">
        <w:rPr>
          <w:rFonts w:eastAsia="Times New Roman" w:cs="Calibri"/>
          <w:snapToGrid w:val="0"/>
          <w:szCs w:val="22"/>
          <w:lang w:val="nl-NL"/>
        </w:rPr>
        <w:t>inschrijver</w:t>
      </w:r>
      <w:r w:rsidRPr="008062AB">
        <w:rPr>
          <w:rFonts w:eastAsia="Times New Roman" w:cs="Calibri"/>
          <w:szCs w:val="22"/>
          <w:lang w:val="nl-NL"/>
        </w:rPr>
        <w:t xml:space="preserve"> beroep doet op de draagkracht van andere entiteiten en die draagkracht bepalend is voor zijn selectie, vermeldt hij verplicht voor welk gedeelte hij een beroep doet op die draagkracht evenals het engagement van die derde of derden die hem ter beschikking staan.  </w:t>
      </w:r>
    </w:p>
    <w:p w14:paraId="604F9C65" w14:textId="77777777" w:rsidR="008062AB" w:rsidRPr="008062AB" w:rsidRDefault="008062AB" w:rsidP="008062AB">
      <w:pPr>
        <w:widowControl w:val="0"/>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 xml:space="preserve">Indien de inschrijver de intentie heeft te werken met onderaanneming, moet hij dat deel van de opdracht preciseren evenals de gegevens van de betrokken onderaannemers. </w:t>
      </w:r>
    </w:p>
    <w:p w14:paraId="692FB26B" w14:textId="7B29B84C" w:rsidR="008062AB" w:rsidRPr="00875833" w:rsidRDefault="00254BBE">
      <w:pPr>
        <w:pStyle w:val="Vade-mecumtitre3"/>
        <w:rPr>
          <w:sz w:val="22"/>
          <w:szCs w:val="22"/>
          <w:lang w:val="nl-NL"/>
        </w:rPr>
      </w:pPr>
      <w:bookmarkStart w:id="366" w:name="_Toc113544073"/>
      <w:bookmarkStart w:id="367" w:name="_Toc117601116"/>
      <w:bookmarkStart w:id="368" w:name="_Hlk113537315"/>
      <w:r w:rsidRPr="00875833">
        <w:rPr>
          <w:sz w:val="22"/>
          <w:szCs w:val="22"/>
          <w:lang w:val="nl-NL"/>
        </w:rPr>
        <w:t xml:space="preserve">A11.1.2.1 </w:t>
      </w:r>
      <w:r w:rsidR="008062AB" w:rsidRPr="00875833">
        <w:rPr>
          <w:sz w:val="22"/>
          <w:szCs w:val="22"/>
          <w:lang w:val="nl-NL"/>
        </w:rPr>
        <w:t>Selectiecriteria inzake de financiële draagkracht van de inschrijver</w:t>
      </w:r>
      <w:bookmarkEnd w:id="366"/>
      <w:bookmarkEnd w:id="367"/>
    </w:p>
    <w:bookmarkEnd w:id="368"/>
    <w:p w14:paraId="0ED2D9E2" w14:textId="77777777" w:rsidR="00A509A9" w:rsidRDefault="00CA45BD" w:rsidP="008062AB">
      <w:pPr>
        <w:widowControl w:val="0"/>
        <w:snapToGrid w:val="0"/>
        <w:spacing w:after="120" w:line="240" w:lineRule="auto"/>
        <w:ind w:firstLine="11"/>
        <w:jc w:val="both"/>
        <w:rPr>
          <w:rStyle w:val="eop"/>
          <w:rFonts w:ascii="Verdana" w:hAnsi="Verdana"/>
          <w:color w:val="000000"/>
          <w:sz w:val="20"/>
          <w:szCs w:val="20"/>
          <w:shd w:val="clear" w:color="auto" w:fill="FFFFFF"/>
          <w:lang w:val="nl-NL"/>
        </w:rPr>
      </w:pPr>
      <w:r w:rsidRPr="0014256C">
        <w:rPr>
          <w:rStyle w:val="normaltextrun"/>
          <w:color w:val="000000"/>
          <w:szCs w:val="22"/>
          <w:shd w:val="clear" w:color="auto" w:fill="FFFFFF"/>
          <w:lang w:val="nl-NL"/>
        </w:rPr>
        <w:t>De inschrijver moet tijdens</w:t>
      </w:r>
      <w:r w:rsidRPr="0014256C">
        <w:rPr>
          <w:rStyle w:val="normaltextrun"/>
          <w:rFonts w:cs="Segoe UI"/>
          <w:color w:val="000000"/>
          <w:szCs w:val="22"/>
          <w:shd w:val="clear" w:color="auto" w:fill="FFFFFF"/>
          <w:lang w:val="nl-NL"/>
        </w:rPr>
        <w:t xml:space="preserve"> één van de laatste drie boekjaren een totale omzet hebben gerealiseerd </w:t>
      </w:r>
      <w:r w:rsidRPr="0014256C">
        <w:rPr>
          <w:rStyle w:val="normaltextrun"/>
          <w:color w:val="000000"/>
          <w:szCs w:val="22"/>
          <w:shd w:val="clear" w:color="auto" w:fill="FFFFFF"/>
          <w:lang w:val="nl-NL"/>
        </w:rPr>
        <w:t xml:space="preserve">in evaluaties m.b.t. ontwikkelingssamenwerking die </w:t>
      </w:r>
      <w:r w:rsidRPr="007100CA">
        <w:rPr>
          <w:rStyle w:val="normaltextrun"/>
          <w:b/>
          <w:bCs/>
          <w:color w:val="000000"/>
          <w:szCs w:val="22"/>
          <w:shd w:val="clear" w:color="auto" w:fill="FFFFFF"/>
          <w:lang w:val="nl-NL"/>
        </w:rPr>
        <w:t>ten minste 120.000 EUR</w:t>
      </w:r>
      <w:r w:rsidRPr="007100CA">
        <w:rPr>
          <w:rStyle w:val="normaltextrun"/>
          <w:color w:val="000000"/>
          <w:szCs w:val="22"/>
          <w:shd w:val="clear" w:color="auto" w:fill="FFFFFF"/>
          <w:lang w:val="nl-NL"/>
        </w:rPr>
        <w:t xml:space="preserve"> </w:t>
      </w:r>
      <w:r w:rsidRPr="0014256C">
        <w:rPr>
          <w:rStyle w:val="normaltextrun"/>
          <w:color w:val="000000"/>
          <w:szCs w:val="22"/>
          <w:shd w:val="clear" w:color="auto" w:fill="FFFFFF"/>
          <w:lang w:val="nl-NL"/>
        </w:rPr>
        <w:t>bedroeg. Hij voegt bij zijn offerte een verklaring inzake de totale omzet gerealiseerd tijdens de laatste drie boekjaren</w:t>
      </w:r>
      <w:r>
        <w:rPr>
          <w:rStyle w:val="normaltextrun"/>
          <w:color w:val="000000"/>
          <w:sz w:val="20"/>
          <w:szCs w:val="20"/>
          <w:shd w:val="clear" w:color="auto" w:fill="FFFFFF"/>
          <w:lang w:val="nl-NL"/>
        </w:rPr>
        <w:t>.</w:t>
      </w:r>
      <w:r w:rsidRPr="0014256C">
        <w:rPr>
          <w:rStyle w:val="eop"/>
          <w:rFonts w:ascii="Verdana" w:hAnsi="Verdana"/>
          <w:color w:val="000000"/>
          <w:sz w:val="20"/>
          <w:szCs w:val="20"/>
          <w:shd w:val="clear" w:color="auto" w:fill="FFFFFF"/>
          <w:lang w:val="nl-NL"/>
        </w:rPr>
        <w:t> </w:t>
      </w:r>
    </w:p>
    <w:p w14:paraId="5D72E139" w14:textId="46037CAD" w:rsidR="008062AB" w:rsidRPr="008062AB" w:rsidRDefault="008062AB" w:rsidP="008062AB">
      <w:pPr>
        <w:widowControl w:val="0"/>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 xml:space="preserve">De inschrijvers die de goedgekeurde jaarrekeningen van de laatste drie boekjaren niet bij de Nationale Bank van België </w:t>
      </w:r>
      <w:r w:rsidRPr="008062AB">
        <w:rPr>
          <w:rFonts w:eastAsia="Times New Roman" w:cs="Calibri"/>
          <w:snapToGrid w:val="0"/>
          <w:szCs w:val="22"/>
          <w:lang w:val="nl-NL"/>
        </w:rPr>
        <w:t>hebben</w:t>
      </w:r>
      <w:r w:rsidRPr="008062AB">
        <w:rPr>
          <w:rFonts w:eastAsia="Times New Roman" w:cs="Calibri"/>
          <w:szCs w:val="22"/>
          <w:lang w:val="nl-NL"/>
        </w:rPr>
        <w:t xml:space="preserve"> neergelegd, zijn verplicht om deze bij hun offerte te voegen. Deze verplichting geldt ook voor de jaarrekeningen die onlangs werden goedgekeurd en die nog niet bij de Nationale Bank van België werden gedeponeerd, omdat de wettelijk voorziene termijn voor het neerleggen ervan nog niet verstreken is. Voor eenmanszaken dient een staat </w:t>
      </w:r>
      <w:r w:rsidRPr="008062AB">
        <w:rPr>
          <w:rFonts w:eastAsia="Times New Roman" w:cs="Calibri"/>
          <w:szCs w:val="22"/>
          <w:lang w:val="nl-NL"/>
        </w:rPr>
        <w:lastRenderedPageBreak/>
        <w:t>van alle activa en passiva door een accountant IEB of een bedrijfsrevisor te worden opgesteld.  Deze staat dient door een erkend accountant IEB of door de bedrijfsrevisor, naargelang het geval, voor echt te worden verklaard.  Het document moet een recente financiële toestand weerspiegelen (maximum 6 maanden oud te rekenen vanaf de datum van de opening van de offertes).  Indien de onderneming nog geen jaarrekening heeft gepubliceerd, volstaat een tussentijdse balans voor echt verklaard door de accountant IEB of door de bedrijfsrevisor.</w:t>
      </w:r>
    </w:p>
    <w:p w14:paraId="2CFAAA70" w14:textId="3AB1392D" w:rsidR="008062AB" w:rsidRPr="00AF39DE" w:rsidRDefault="008062AB" w:rsidP="00AF39DE">
      <w:pPr>
        <w:widowControl w:val="0"/>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 xml:space="preserve">Voor de buitenlandse ondernemingen dienen tevens de goedkeurende jaarrekeningen van de drie laatste jaren of een </w:t>
      </w:r>
      <w:r w:rsidRPr="008062AB">
        <w:rPr>
          <w:rFonts w:eastAsia="Times New Roman" w:cs="Calibri"/>
          <w:snapToGrid w:val="0"/>
          <w:szCs w:val="22"/>
          <w:lang w:val="nl-NL"/>
        </w:rPr>
        <w:t>staat</w:t>
      </w:r>
      <w:r w:rsidRPr="008062AB">
        <w:rPr>
          <w:rFonts w:eastAsia="Times New Roman" w:cs="Calibri"/>
          <w:szCs w:val="22"/>
          <w:lang w:val="nl-NL"/>
        </w:rPr>
        <w:t xml:space="preserve"> van alle activa en passiva van de onderneming bij de offerte te worden gevoegd.  Indien de onderneming nog geen jaarrekening heeft gepubliceerd, volstaat een tussentijdse balans voor echt verklaard door de accountant of door de bedrijfsrevisor of door de persoon of organisme dat een soortgelijke functie in zijn land uitoefent.</w:t>
      </w:r>
    </w:p>
    <w:p w14:paraId="57FF68DA" w14:textId="4B17DF35" w:rsidR="00CB5C44" w:rsidRPr="00875833" w:rsidRDefault="00290725">
      <w:pPr>
        <w:pStyle w:val="Vade-mecumtitre3"/>
        <w:rPr>
          <w:sz w:val="22"/>
          <w:szCs w:val="22"/>
          <w:lang w:val="nl-NL"/>
        </w:rPr>
      </w:pPr>
      <w:bookmarkStart w:id="369" w:name="_Toc113544074"/>
      <w:bookmarkStart w:id="370" w:name="_Toc117601117"/>
      <w:r w:rsidRPr="00875833">
        <w:rPr>
          <w:sz w:val="22"/>
          <w:szCs w:val="22"/>
          <w:lang w:val="nl-NL"/>
        </w:rPr>
        <w:t xml:space="preserve">A11.1.2.2 </w:t>
      </w:r>
      <w:r w:rsidR="00AF39DE" w:rsidRPr="00875833">
        <w:rPr>
          <w:sz w:val="22"/>
          <w:szCs w:val="22"/>
          <w:lang w:val="nl-NL"/>
        </w:rPr>
        <w:t>Selectiecriteria met betrekking tot de technische bekwaamheid van de inschrijver</w:t>
      </w:r>
      <w:bookmarkEnd w:id="369"/>
      <w:bookmarkEnd w:id="370"/>
    </w:p>
    <w:p w14:paraId="27695A90" w14:textId="77777777" w:rsidR="008062AB" w:rsidRPr="008062AB" w:rsidRDefault="008062AB" w:rsidP="008062AB">
      <w:pPr>
        <w:snapToGrid w:val="0"/>
        <w:spacing w:after="120" w:line="240" w:lineRule="auto"/>
        <w:ind w:firstLine="11"/>
        <w:jc w:val="both"/>
        <w:rPr>
          <w:rFonts w:eastAsia="Times New Roman" w:cs="Calibri"/>
          <w:szCs w:val="22"/>
          <w:lang w:val="nl-NL"/>
        </w:rPr>
      </w:pPr>
      <w:r w:rsidRPr="008062AB">
        <w:rPr>
          <w:rFonts w:eastAsia="Times New Roman" w:cs="Calibri"/>
          <w:szCs w:val="22"/>
          <w:u w:val="single"/>
          <w:lang w:val="nl-NL"/>
        </w:rPr>
        <w:t>Eerste criterium inzake de technische bekwaamheid van de inschrijver</w:t>
      </w:r>
    </w:p>
    <w:p w14:paraId="0FC411EB" w14:textId="77777777" w:rsidR="008062AB" w:rsidRPr="008062AB" w:rsidRDefault="008062AB" w:rsidP="008062AB">
      <w:pPr>
        <w:widowControl w:val="0"/>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 xml:space="preserve">De inschrijver moet over voldoende technici of technische organen beschikken of kunnen beschikken, in het bijzonder </w:t>
      </w:r>
      <w:r w:rsidRPr="008062AB">
        <w:rPr>
          <w:rFonts w:eastAsia="Times New Roman" w:cs="Calibri"/>
          <w:snapToGrid w:val="0"/>
          <w:szCs w:val="22"/>
          <w:lang w:val="nl-NL"/>
        </w:rPr>
        <w:t>de</w:t>
      </w:r>
      <w:r w:rsidRPr="008062AB">
        <w:rPr>
          <w:rFonts w:eastAsia="Times New Roman" w:cs="Calibri"/>
          <w:szCs w:val="22"/>
          <w:lang w:val="nl-NL"/>
        </w:rPr>
        <w:t xml:space="preserve"> personen of de organen die verantwoordelijk zijn voor de kwaliteitscontrole. Bij de beoordeling van de technische bekwaamheid zal enkel rekening gehouden worden met de technici of de technische organen die in het raam van de opdracht die het voorwerp uitmaakt van onderhavig bestek een meerwaarde bieden.</w:t>
      </w:r>
    </w:p>
    <w:p w14:paraId="6FF02269" w14:textId="77777777" w:rsidR="008062AB" w:rsidRPr="008062AB" w:rsidRDefault="008062AB" w:rsidP="008062AB">
      <w:pPr>
        <w:widowControl w:val="0"/>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 xml:space="preserve">De </w:t>
      </w:r>
      <w:r w:rsidRPr="008062AB">
        <w:rPr>
          <w:rFonts w:eastAsia="Times New Roman" w:cs="Calibri"/>
          <w:snapToGrid w:val="0"/>
          <w:szCs w:val="22"/>
          <w:lang w:val="nl-NL"/>
        </w:rPr>
        <w:t>inschrijver</w:t>
      </w:r>
      <w:r w:rsidRPr="008062AB">
        <w:rPr>
          <w:rFonts w:eastAsia="Times New Roman" w:cs="Calibri"/>
          <w:szCs w:val="22"/>
          <w:lang w:val="nl-NL"/>
        </w:rPr>
        <w:t xml:space="preserve"> voegt bij zijn offerte een opgave van de al dan niet tot de onderneming behorende technici of technische organen, in het bijzonder van die welke verantwoordelijk zijn voor de kwaliteitscontrole.</w:t>
      </w:r>
    </w:p>
    <w:p w14:paraId="6A64FF44" w14:textId="77777777" w:rsidR="008062AB" w:rsidRPr="008062AB" w:rsidRDefault="008062AB" w:rsidP="008062AB">
      <w:pPr>
        <w:snapToGrid w:val="0"/>
        <w:spacing w:before="120" w:after="120" w:line="240" w:lineRule="auto"/>
        <w:ind w:firstLine="11"/>
        <w:jc w:val="both"/>
        <w:rPr>
          <w:rFonts w:eastAsia="Times New Roman" w:cs="Calibri"/>
          <w:szCs w:val="22"/>
          <w:u w:val="single"/>
          <w:lang w:val="nl-NL"/>
        </w:rPr>
      </w:pPr>
      <w:r w:rsidRPr="008062AB">
        <w:rPr>
          <w:rFonts w:eastAsia="Times New Roman" w:cs="Calibri"/>
          <w:szCs w:val="22"/>
          <w:u w:val="single"/>
          <w:lang w:val="nl-NL"/>
        </w:rPr>
        <w:t>Tweede criterium inzake de technische bekwaamheid van de inschrijver</w:t>
      </w:r>
    </w:p>
    <w:p w14:paraId="3FA1CDE9" w14:textId="77777777" w:rsidR="008062AB" w:rsidRPr="008062AB" w:rsidRDefault="008062AB" w:rsidP="008062AB">
      <w:pPr>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De inschrijver moet over voldoende bekwaam personeel beschikken om de opdracht naar behoren te kunnen uitvoeren.</w:t>
      </w:r>
    </w:p>
    <w:p w14:paraId="3D65474D" w14:textId="77777777" w:rsidR="008062AB" w:rsidRPr="008062AB" w:rsidRDefault="008062AB" w:rsidP="008062AB">
      <w:pPr>
        <w:snapToGrid w:val="0"/>
        <w:spacing w:after="120" w:line="240" w:lineRule="auto"/>
        <w:ind w:firstLine="11"/>
        <w:jc w:val="both"/>
        <w:rPr>
          <w:rFonts w:eastAsia="Times New Roman" w:cs="Calibri"/>
          <w:szCs w:val="22"/>
          <w:lang w:val="nl-NL"/>
        </w:rPr>
      </w:pPr>
      <w:r w:rsidRPr="008062AB">
        <w:rPr>
          <w:rFonts w:eastAsia="Times New Roman" w:cs="Calibri"/>
          <w:szCs w:val="22"/>
          <w:lang w:val="nl-NL"/>
        </w:rPr>
        <w:t>De inschrijver voegt bij zijn offerte een opgave van het personeel dat zal worden ingezet bij de realisatie van de opdracht. In deze opgave vermeldt de inschrijver de diploma’s waarover dit personeel beschikt alsook hun beroepskwalificaties en ervaring.</w:t>
      </w:r>
    </w:p>
    <w:p w14:paraId="716D1EC6" w14:textId="77777777" w:rsidR="008062AB" w:rsidRPr="007100CA" w:rsidRDefault="008062AB" w:rsidP="008062AB">
      <w:pPr>
        <w:snapToGrid w:val="0"/>
        <w:spacing w:after="120" w:line="240" w:lineRule="auto"/>
        <w:ind w:firstLine="11"/>
        <w:jc w:val="both"/>
        <w:rPr>
          <w:rFonts w:eastAsia="Times New Roman" w:cs="Calibri"/>
          <w:szCs w:val="22"/>
          <w:lang w:val="nl-NL"/>
        </w:rPr>
      </w:pPr>
      <w:r w:rsidRPr="007100CA">
        <w:rPr>
          <w:rFonts w:eastAsia="Times New Roman" w:cs="Calibri"/>
          <w:szCs w:val="22"/>
          <w:lang w:val="nl-NL"/>
        </w:rPr>
        <w:t>Wat de technische kwaliteiten van de evaluatoren betreft, voegt de inschrijver hun gedetailleerde cv’s toe. Bovendien geldt het volgende:</w:t>
      </w:r>
    </w:p>
    <w:p w14:paraId="02428EEA" w14:textId="77777777" w:rsidR="008062AB" w:rsidRPr="007100CA" w:rsidRDefault="008062AB">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eastAsia="Calibri" w:cs="Calibri"/>
          <w:color w:val="000000"/>
          <w:szCs w:val="22"/>
          <w:u w:color="000000"/>
          <w:bdr w:val="nil"/>
          <w:lang w:val="nl-NL" w:eastAsia="nl-BE"/>
        </w:rPr>
      </w:pPr>
      <w:r w:rsidRPr="007100CA">
        <w:rPr>
          <w:rFonts w:eastAsia="Calibri" w:cs="Calibri"/>
          <w:color w:val="000000"/>
          <w:szCs w:val="22"/>
          <w:u w:color="000000"/>
          <w:bdr w:val="nil"/>
          <w:lang w:val="nl-NL" w:eastAsia="nl-BE"/>
        </w:rPr>
        <w:t>Het CV van de voorgestelde evaluatoren moet duidelijk aangeven voor welke interventies gefinancierd door Belgische federale middelen, zij hebben deelgenomen aan de voorbereiding, uitvoering of een eerdere evaluatie, om belangenconflicten te voorkomen.</w:t>
      </w:r>
    </w:p>
    <w:p w14:paraId="4E715995" w14:textId="2E88C2C3" w:rsidR="008062AB" w:rsidRPr="007100CA" w:rsidRDefault="008062AB">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eastAsia="Calibri" w:cs="Calibri"/>
          <w:color w:val="000000"/>
          <w:szCs w:val="22"/>
          <w:u w:color="000000"/>
          <w:bdr w:val="nil"/>
          <w:lang w:val="nl-NL" w:eastAsia="nl-BE"/>
        </w:rPr>
      </w:pPr>
      <w:r w:rsidRPr="007100CA">
        <w:rPr>
          <w:rFonts w:eastAsia="Calibri" w:cs="Calibri"/>
          <w:color w:val="000000"/>
          <w:szCs w:val="22"/>
          <w:u w:color="000000"/>
          <w:bdr w:val="nil"/>
          <w:lang w:val="nl-NL" w:eastAsia="nl-BE"/>
        </w:rPr>
        <w:t>Het CV van de individuele evaluatoren moet aantonen dat de cumulatieve taalvaardigheden van het evaluatieteam hen in staat stellen in het Nederlands, Frans en Engels te werken</w:t>
      </w:r>
      <w:r w:rsidR="008D1433" w:rsidRPr="007100CA">
        <w:rPr>
          <w:rFonts w:eastAsia="Calibri" w:cs="Calibri"/>
          <w:color w:val="000000"/>
          <w:szCs w:val="22"/>
          <w:u w:color="000000"/>
          <w:bdr w:val="nil"/>
          <w:lang w:val="nl-NL" w:eastAsia="nl-BE"/>
        </w:rPr>
        <w:t xml:space="preserve"> </w:t>
      </w:r>
      <w:r w:rsidR="008D1433" w:rsidRPr="007100CA">
        <w:rPr>
          <w:rStyle w:val="normaltextrun"/>
          <w:color w:val="000000"/>
          <w:szCs w:val="22"/>
          <w:bdr w:val="none" w:sz="0" w:space="0" w:color="auto" w:frame="1"/>
          <w:lang w:val="nl-NL"/>
        </w:rPr>
        <w:t>en in de talen van de betrokken landen</w:t>
      </w:r>
      <w:r w:rsidRPr="007100CA">
        <w:rPr>
          <w:rFonts w:eastAsia="Calibri" w:cs="Calibri"/>
          <w:color w:val="000000"/>
          <w:szCs w:val="22"/>
          <w:u w:color="000000"/>
          <w:bdr w:val="nil"/>
          <w:lang w:val="nl-NL" w:eastAsia="nl-BE"/>
        </w:rPr>
        <w:t>.</w:t>
      </w:r>
    </w:p>
    <w:p w14:paraId="6D869A45" w14:textId="77777777" w:rsidR="008062AB" w:rsidRPr="007100CA" w:rsidRDefault="008062AB">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eastAsia="Calibri" w:cs="Calibri"/>
          <w:color w:val="000000"/>
          <w:szCs w:val="22"/>
          <w:u w:color="000000"/>
          <w:bdr w:val="nil"/>
          <w:lang w:val="nl-NL" w:eastAsia="nl-BE"/>
        </w:rPr>
      </w:pPr>
      <w:r w:rsidRPr="007100CA">
        <w:rPr>
          <w:rFonts w:eastAsia="Calibri" w:cs="Calibri"/>
          <w:color w:val="000000"/>
          <w:szCs w:val="22"/>
          <w:u w:color="000000"/>
          <w:bdr w:val="nil"/>
          <w:lang w:val="nl-NL" w:eastAsia="nl-BE"/>
        </w:rPr>
        <w:t xml:space="preserve">Voor een goed begrip van de documenten opgesteld door de Belgische administratie, moet minstens één lid van het evaluatieteam een </w:t>
      </w:r>
      <w:r w:rsidRPr="007100CA">
        <w:rPr>
          <w:rFonts w:eastAsia="Calibri" w:cs="Arial"/>
          <w:color w:val="000000"/>
          <w:szCs w:val="22"/>
          <w:u w:color="000000"/>
          <w:bdr w:val="nil"/>
          <w:lang w:val="nl-NL" w:eastAsia="nl-BE"/>
        </w:rPr>
        <w:t>​​</w:t>
      </w:r>
      <w:r w:rsidRPr="007100CA">
        <w:rPr>
          <w:rFonts w:eastAsia="Calibri" w:cs="Calibri"/>
          <w:color w:val="000000"/>
          <w:szCs w:val="22"/>
          <w:u w:color="000000"/>
          <w:bdr w:val="nil"/>
          <w:lang w:val="nl-NL" w:eastAsia="nl-BE"/>
        </w:rPr>
        <w:t xml:space="preserve">actieve kennis hebben van respectievelijk Frans en Nederlands op moedertaalniveau. Als de teamleider geen goede kennis van het Frans of het Nederlands heeft, wordt hij op zijn minst bijgestaan </w:t>
      </w:r>
      <w:r w:rsidRPr="007100CA">
        <w:rPr>
          <w:rFonts w:eastAsia="Calibri" w:cs="Arial"/>
          <w:color w:val="000000"/>
          <w:szCs w:val="22"/>
          <w:u w:color="000000"/>
          <w:bdr w:val="nil"/>
          <w:lang w:val="nl-NL" w:eastAsia="nl-BE"/>
        </w:rPr>
        <w:t>​​</w:t>
      </w:r>
      <w:r w:rsidRPr="007100CA">
        <w:rPr>
          <w:rFonts w:eastAsia="Calibri" w:cs="Calibri"/>
          <w:color w:val="000000"/>
          <w:szCs w:val="22"/>
          <w:u w:color="000000"/>
          <w:bdr w:val="nil"/>
          <w:lang w:val="nl-NL" w:eastAsia="nl-BE"/>
        </w:rPr>
        <w:t>door een co-teamleider die deze talenkennis heeft.</w:t>
      </w:r>
    </w:p>
    <w:p w14:paraId="5FD9448C" w14:textId="77777777" w:rsidR="008062AB" w:rsidRPr="007100CA" w:rsidRDefault="008062AB" w:rsidP="008062AB">
      <w:pPr>
        <w:snapToGrid w:val="0"/>
        <w:spacing w:before="120" w:after="120" w:line="240" w:lineRule="auto"/>
        <w:ind w:firstLine="11"/>
        <w:jc w:val="both"/>
        <w:rPr>
          <w:rFonts w:eastAsia="Times New Roman" w:cs="Calibri"/>
          <w:szCs w:val="22"/>
          <w:u w:val="single"/>
          <w:lang w:val="nl-NL"/>
        </w:rPr>
      </w:pPr>
      <w:r w:rsidRPr="007100CA">
        <w:rPr>
          <w:rFonts w:eastAsia="Times New Roman" w:cs="Calibri"/>
          <w:szCs w:val="22"/>
          <w:u w:val="single"/>
          <w:lang w:val="nl-NL"/>
        </w:rPr>
        <w:t>Derde criterium inzake de technische bekwaamheid van de inschrijver</w:t>
      </w:r>
    </w:p>
    <w:p w14:paraId="2D2795E3" w14:textId="77777777" w:rsidR="008062AB" w:rsidRPr="007100CA" w:rsidRDefault="008062AB" w:rsidP="008062AB">
      <w:pPr>
        <w:widowControl w:val="0"/>
        <w:snapToGrid w:val="0"/>
        <w:spacing w:after="120" w:line="240" w:lineRule="auto"/>
        <w:ind w:firstLine="11"/>
        <w:jc w:val="both"/>
        <w:rPr>
          <w:rFonts w:eastAsia="Times New Roman" w:cs="Calibri"/>
          <w:b/>
          <w:szCs w:val="22"/>
          <w:lang w:val="nl-NL"/>
        </w:rPr>
      </w:pPr>
      <w:r w:rsidRPr="007100CA">
        <w:rPr>
          <w:rFonts w:eastAsia="Times New Roman" w:cs="Calibri"/>
          <w:bCs/>
          <w:szCs w:val="22"/>
          <w:lang w:val="nl-NL"/>
        </w:rPr>
        <w:t>De inschrijver voegt bij zijn offerte verplicht</w:t>
      </w:r>
      <w:r w:rsidRPr="007100CA">
        <w:rPr>
          <w:rFonts w:eastAsia="Times New Roman" w:cs="Calibri"/>
          <w:b/>
          <w:szCs w:val="22"/>
          <w:lang w:val="nl-NL"/>
        </w:rPr>
        <w:t xml:space="preserve"> een lijst van alle studies en evaluaties die de afgelopen vijf jaar werden uitgevoerd of die door de leden van het evaluatieteam werden uitgevoerd en die relevant zijn voor deze evaluatie.</w:t>
      </w:r>
    </w:p>
    <w:p w14:paraId="31F6A66B" w14:textId="260DFF58" w:rsidR="008062AB" w:rsidRPr="007100CA" w:rsidRDefault="00126507" w:rsidP="008062AB">
      <w:pPr>
        <w:widowControl w:val="0"/>
        <w:snapToGrid w:val="0"/>
        <w:spacing w:before="120" w:after="120" w:line="240" w:lineRule="auto"/>
        <w:ind w:firstLine="11"/>
        <w:jc w:val="both"/>
        <w:rPr>
          <w:rFonts w:eastAsia="Times New Roman" w:cs="Calibri"/>
          <w:szCs w:val="22"/>
          <w:lang w:val="nl-NL"/>
        </w:rPr>
      </w:pPr>
      <w:r w:rsidRPr="007100CA">
        <w:rPr>
          <w:rStyle w:val="normaltextrun"/>
          <w:color w:val="000000"/>
          <w:szCs w:val="22"/>
          <w:shd w:val="clear" w:color="auto" w:fill="FFFFFF"/>
          <w:lang w:val="nl-NL"/>
        </w:rPr>
        <w:lastRenderedPageBreak/>
        <w:t>De vereisten rond deze lijst van studies en evaluaties staan uitgelegd onder C1. Informatiefiche – technische en financiële offerte</w:t>
      </w:r>
      <w:r w:rsidRPr="007100CA">
        <w:rPr>
          <w:rStyle w:val="normaltextrun"/>
          <w:color w:val="000000"/>
          <w:sz w:val="20"/>
          <w:szCs w:val="20"/>
          <w:shd w:val="clear" w:color="auto" w:fill="FFFFFF"/>
          <w:lang w:val="nl-NL"/>
        </w:rPr>
        <w:t>.</w:t>
      </w:r>
      <w:r w:rsidRPr="007100CA">
        <w:rPr>
          <w:rStyle w:val="eop"/>
          <w:rFonts w:ascii="Verdana" w:hAnsi="Verdana"/>
          <w:color w:val="000000"/>
          <w:sz w:val="20"/>
          <w:szCs w:val="20"/>
          <w:shd w:val="clear" w:color="auto" w:fill="FFFFFF"/>
          <w:lang w:val="nl-NL"/>
        </w:rPr>
        <w:t> </w:t>
      </w:r>
      <w:r w:rsidR="008062AB" w:rsidRPr="007100CA">
        <w:rPr>
          <w:rFonts w:eastAsia="Times New Roman" w:cs="Calibri"/>
          <w:szCs w:val="22"/>
          <w:lang w:val="nl-NL"/>
        </w:rPr>
        <w:t>De aanbestedende dienst moet de evaluatierapporten op deze lijst kunnen raadplegen. Hiertoe vermeldt de lijst waar de rapporten worden gepubliceerd en/of waar de aanbestedende dienst de documenten kan vinden.</w:t>
      </w:r>
    </w:p>
    <w:p w14:paraId="5E5B3342" w14:textId="77777777" w:rsidR="008062AB" w:rsidRPr="007100CA" w:rsidRDefault="008062AB" w:rsidP="008062AB">
      <w:pPr>
        <w:widowControl w:val="0"/>
        <w:snapToGrid w:val="0"/>
        <w:spacing w:after="120" w:line="240" w:lineRule="auto"/>
        <w:ind w:firstLine="11"/>
        <w:jc w:val="both"/>
        <w:rPr>
          <w:rFonts w:eastAsia="Times New Roman" w:cs="Calibri"/>
          <w:szCs w:val="22"/>
          <w:lang w:val="nl-NL"/>
        </w:rPr>
      </w:pPr>
      <w:r w:rsidRPr="007100CA">
        <w:rPr>
          <w:rFonts w:eastAsia="Times New Roman" w:cs="Calibri"/>
          <w:szCs w:val="22"/>
          <w:lang w:val="nl-NL"/>
        </w:rPr>
        <w:t>De lijst met beoordelingen bevat ook alle relevante (academische) publicaties van leden van het evaluatieteam.</w:t>
      </w:r>
    </w:p>
    <w:p w14:paraId="6BCA4364" w14:textId="77777777" w:rsidR="008062AB" w:rsidRPr="007100CA" w:rsidRDefault="008062AB" w:rsidP="008062AB">
      <w:pPr>
        <w:widowControl w:val="0"/>
        <w:snapToGrid w:val="0"/>
        <w:spacing w:after="120" w:line="240" w:lineRule="auto"/>
        <w:ind w:firstLine="11"/>
        <w:jc w:val="both"/>
        <w:rPr>
          <w:rFonts w:eastAsia="Times New Roman" w:cs="Calibri"/>
          <w:szCs w:val="22"/>
          <w:lang w:val="nl-NL"/>
        </w:rPr>
      </w:pPr>
      <w:r w:rsidRPr="007100CA">
        <w:rPr>
          <w:rFonts w:eastAsia="Times New Roman" w:cs="Calibri"/>
          <w:szCs w:val="22"/>
          <w:lang w:val="nl-NL"/>
        </w:rPr>
        <w:t>De inschrijver voegt bij zijn offerte verder een lijst van de voornaamste diensten die gedurende de afgelopen vijf jaar werden verricht, met vermelding van het bedrag en de datum en van de publiek- of privaatrechtelijke instanties waarvoor zij bestemd waren. De diensten worden aangetoond door attesten die de bevoegde autoriteit heeft afgegeven of medeondertekend, of in geval van diensten voor een particuliere afnemer, door attesten van de afnemer of bij ontstentenis eenvoudigweg door een verklaring van de leverancier.</w:t>
      </w:r>
    </w:p>
    <w:p w14:paraId="49883A0E" w14:textId="77777777" w:rsidR="008062AB" w:rsidRPr="007100CA" w:rsidRDefault="008062AB" w:rsidP="008062AB">
      <w:pPr>
        <w:snapToGrid w:val="0"/>
        <w:spacing w:before="120" w:after="120" w:line="240" w:lineRule="auto"/>
        <w:ind w:firstLine="11"/>
        <w:jc w:val="both"/>
        <w:rPr>
          <w:rFonts w:eastAsia="Times New Roman" w:cs="Calibri"/>
          <w:szCs w:val="22"/>
          <w:u w:val="single"/>
          <w:lang w:val="nl-NL"/>
        </w:rPr>
      </w:pPr>
      <w:r w:rsidRPr="007100CA">
        <w:rPr>
          <w:rFonts w:eastAsia="Times New Roman" w:cs="Calibri"/>
          <w:szCs w:val="22"/>
          <w:u w:val="single"/>
          <w:lang w:val="nl-NL"/>
        </w:rPr>
        <w:t>Belangrijke opmerking</w:t>
      </w:r>
    </w:p>
    <w:p w14:paraId="3F1A19BC" w14:textId="22EA5CA6" w:rsidR="00AF39DE" w:rsidRPr="008062AB" w:rsidRDefault="008062AB" w:rsidP="00640182">
      <w:pPr>
        <w:widowControl w:val="0"/>
        <w:snapToGrid w:val="0"/>
        <w:spacing w:after="120" w:line="240" w:lineRule="auto"/>
        <w:ind w:firstLine="11"/>
        <w:jc w:val="both"/>
        <w:rPr>
          <w:rFonts w:eastAsia="Times New Roman" w:cs="Calibri"/>
          <w:szCs w:val="22"/>
          <w:lang w:val="nl-NL"/>
        </w:rPr>
      </w:pPr>
      <w:r w:rsidRPr="007100CA">
        <w:rPr>
          <w:rFonts w:eastAsia="Times New Roman" w:cs="Calibri"/>
          <w:szCs w:val="22"/>
          <w:lang w:val="nl-NL"/>
        </w:rPr>
        <w:t>De inschrijver moet in zijn offerte vermelden welk gedeelte van de opdracht hij plant in onderaanneming te geven en welke onderaannemers hij voorstelt.</w:t>
      </w:r>
      <w:r w:rsidRPr="008062AB">
        <w:rPr>
          <w:rFonts w:eastAsia="Times New Roman" w:cs="Calibri"/>
          <w:szCs w:val="22"/>
          <w:lang w:val="nl-NL"/>
        </w:rPr>
        <w:t xml:space="preserve"> </w:t>
      </w:r>
    </w:p>
    <w:p w14:paraId="3C7FC7B3" w14:textId="77777777" w:rsidR="008062AB" w:rsidRPr="008062AB" w:rsidRDefault="008062AB" w:rsidP="008062AB">
      <w:pPr>
        <w:snapToGrid w:val="0"/>
        <w:spacing w:after="120" w:line="240" w:lineRule="auto"/>
        <w:ind w:firstLine="11"/>
        <w:jc w:val="both"/>
        <w:rPr>
          <w:rFonts w:eastAsia="Times New Roman" w:cs="Calibri"/>
          <w:szCs w:val="22"/>
          <w:lang w:val="nl-NL"/>
        </w:rPr>
      </w:pPr>
    </w:p>
    <w:p w14:paraId="0D1D0236" w14:textId="77777777" w:rsidR="008062AB" w:rsidRPr="008062AB" w:rsidRDefault="008062AB" w:rsidP="008062AB">
      <w:pPr>
        <w:pBdr>
          <w:top w:val="single" w:sz="4" w:space="1" w:color="auto"/>
          <w:left w:val="single" w:sz="4" w:space="1" w:color="auto"/>
          <w:bottom w:val="single" w:sz="4" w:space="1" w:color="auto"/>
          <w:right w:val="single" w:sz="4" w:space="1" w:color="auto"/>
        </w:pBdr>
        <w:shd w:val="clear" w:color="auto" w:fill="E7E6E6"/>
        <w:snapToGrid w:val="0"/>
        <w:spacing w:after="120" w:line="240" w:lineRule="auto"/>
        <w:ind w:firstLine="11"/>
        <w:jc w:val="both"/>
        <w:rPr>
          <w:rFonts w:eastAsia="Times New Roman" w:cs="Calibri"/>
          <w:color w:val="000000"/>
          <w:szCs w:val="22"/>
          <w:lang w:val="nl-NL"/>
        </w:rPr>
      </w:pPr>
      <w:bookmarkStart w:id="371" w:name="_Hlk9581519"/>
      <w:r w:rsidRPr="008062AB">
        <w:rPr>
          <w:rFonts w:eastAsia="Times New Roman" w:cs="Calibri"/>
          <w:color w:val="000000"/>
          <w:szCs w:val="22"/>
          <w:lang w:val="nl-NL"/>
        </w:rPr>
        <w:t>ONDERAANNEMING BELANGRIJK</w:t>
      </w:r>
      <w:bookmarkStart w:id="372" w:name="_Hlk9581739"/>
    </w:p>
    <w:p w14:paraId="3B292517" w14:textId="77777777" w:rsidR="008062AB" w:rsidRPr="008062AB" w:rsidRDefault="008062AB" w:rsidP="008062AB">
      <w:pPr>
        <w:pBdr>
          <w:top w:val="single" w:sz="4" w:space="1" w:color="auto"/>
          <w:left w:val="single" w:sz="4" w:space="1" w:color="auto"/>
          <w:bottom w:val="single" w:sz="4" w:space="1" w:color="auto"/>
          <w:right w:val="single" w:sz="4" w:space="1" w:color="auto"/>
        </w:pBdr>
        <w:shd w:val="clear" w:color="auto" w:fill="E7E6E6"/>
        <w:snapToGrid w:val="0"/>
        <w:spacing w:after="120" w:line="240" w:lineRule="auto"/>
        <w:ind w:firstLine="11"/>
        <w:jc w:val="both"/>
        <w:rPr>
          <w:rFonts w:eastAsia="Times New Roman" w:cs="Calibri"/>
          <w:color w:val="000000"/>
          <w:szCs w:val="22"/>
          <w:lang w:val="nl-NL"/>
        </w:rPr>
      </w:pPr>
      <w:bookmarkStart w:id="373" w:name="_Hlk9581762"/>
      <w:bookmarkStart w:id="374" w:name="_Hlk9584564"/>
      <w:bookmarkStart w:id="375" w:name="_Hlk536707784"/>
      <w:r w:rsidRPr="008062AB">
        <w:rPr>
          <w:rFonts w:eastAsia="Times New Roman" w:cs="Calibri"/>
          <w:color w:val="000000"/>
          <w:szCs w:val="22"/>
          <w:lang w:val="nl-NL"/>
        </w:rPr>
        <w:t>In toepassing van artikel 12/1 van het koninklijk besluit van 14 januari 2013 tot bepaling van de algemene uitvoeringsregels van de overheidsopdrachten, bezorgt de opdrachtnemer ten laatste bij de aanvang van de uitvoering van de opdracht de volgende informatie aan de aanbestedende overheid: naam, contactgegevens en wettelijke vertegenwoordigers van alle onderaannemers, ongeacht hun aandeel of plaats in de keten van onderaanneming, die bij de uitvoering van de diensten betrokken zijn, voor zover deze gegevens op dat moment bekend zijn. De opdrachtnemer is ook gehouden om de aanbestedende overheid onverwijld in kennis te stellen van alle wijzigingen van deze gegevens alsmede de vereiste gegevens betreffende eventuele nieuwe onderaannemers die hij nadien bij uitvoering van de diensten zal betrekken. Deze gegevens kunnen via het Uniform Europees Aanbestedingsdocument (UEA) worden aangeleverd</w:t>
      </w:r>
      <w:bookmarkEnd w:id="373"/>
      <w:r w:rsidRPr="008062AB">
        <w:rPr>
          <w:rFonts w:eastAsia="Times New Roman" w:cs="Calibri"/>
          <w:color w:val="000000"/>
          <w:szCs w:val="22"/>
          <w:lang w:val="nl-NL"/>
        </w:rPr>
        <w:t>.</w:t>
      </w:r>
      <w:bookmarkEnd w:id="372"/>
      <w:bookmarkEnd w:id="374"/>
      <w:bookmarkEnd w:id="375"/>
    </w:p>
    <w:p w14:paraId="4D35969B" w14:textId="77777777" w:rsidR="002A436D" w:rsidRDefault="002A436D">
      <w:pPr>
        <w:pStyle w:val="Vade-mecumtitre2"/>
        <w:rPr>
          <w:lang w:val="nl-NL"/>
        </w:rPr>
      </w:pPr>
      <w:bookmarkStart w:id="376" w:name="_Toc529699984"/>
      <w:bookmarkStart w:id="377" w:name="_Toc529700600"/>
      <w:bookmarkStart w:id="378" w:name="_Toc529747456"/>
      <w:bookmarkStart w:id="379" w:name="_Toc230700"/>
      <w:bookmarkStart w:id="380" w:name="_Toc230754"/>
      <w:bookmarkStart w:id="381" w:name="_Toc12079549"/>
      <w:bookmarkStart w:id="382" w:name="_Toc12862745"/>
      <w:bookmarkStart w:id="383" w:name="_Toc19591204"/>
      <w:bookmarkStart w:id="384" w:name="_Toc232304320"/>
      <w:bookmarkStart w:id="385" w:name="_Toc347134750"/>
      <w:bookmarkStart w:id="386" w:name="_Toc487533683"/>
      <w:bookmarkStart w:id="387" w:name="_Toc12453051"/>
      <w:bookmarkStart w:id="388" w:name="_Toc113544458"/>
      <w:bookmarkStart w:id="389" w:name="_Toc114066760"/>
      <w:bookmarkStart w:id="390" w:name="_Toc115882639"/>
      <w:bookmarkEnd w:id="339"/>
      <w:bookmarkEnd w:id="371"/>
    </w:p>
    <w:p w14:paraId="0F68D89D" w14:textId="1BF626A7" w:rsidR="002E11A8" w:rsidRPr="002A436D" w:rsidRDefault="002E11A8">
      <w:pPr>
        <w:pStyle w:val="Vade-mecumtitre2"/>
        <w:rPr>
          <w:lang w:val="nl-NL"/>
        </w:rPr>
      </w:pPr>
      <w:bookmarkStart w:id="391" w:name="_Toc117601118"/>
      <w:r w:rsidRPr="79A775EF">
        <w:rPr>
          <w:lang w:val="nl-NL"/>
        </w:rPr>
        <w:t>A11.2 Regelmatigheid van de offertes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44AC2FF" w14:textId="77777777" w:rsidR="002E11A8" w:rsidRPr="002E11A8" w:rsidRDefault="002E11A8" w:rsidP="002E11A8">
      <w:pPr>
        <w:widowControl w:val="0"/>
        <w:snapToGrid w:val="0"/>
        <w:spacing w:after="120" w:line="240" w:lineRule="auto"/>
        <w:ind w:firstLine="11"/>
        <w:jc w:val="both"/>
        <w:rPr>
          <w:rFonts w:eastAsia="Times New Roman" w:cs="Calibri"/>
          <w:szCs w:val="22"/>
          <w:lang w:val="nl-NL"/>
        </w:rPr>
      </w:pPr>
      <w:r w:rsidRPr="002E11A8">
        <w:rPr>
          <w:rFonts w:eastAsia="Times New Roman" w:cs="Calibri"/>
          <w:szCs w:val="22"/>
          <w:lang w:val="nl-NL"/>
        </w:rPr>
        <w:t>De offertes van de geselecteerde inschrijvers zullen worden onderzocht op het vlak van hun regelmatigheid. Substantieel onregelmatige offertes zullen worden geweerd.</w:t>
      </w:r>
    </w:p>
    <w:p w14:paraId="032780D0" w14:textId="1337EC60" w:rsidR="002E11A8" w:rsidRDefault="002E11A8" w:rsidP="002E11A8">
      <w:pPr>
        <w:widowControl w:val="0"/>
        <w:snapToGrid w:val="0"/>
        <w:spacing w:after="120" w:line="240" w:lineRule="auto"/>
        <w:ind w:firstLine="11"/>
        <w:jc w:val="both"/>
        <w:rPr>
          <w:rFonts w:eastAsia="Times New Roman" w:cs="Calibri"/>
          <w:szCs w:val="22"/>
          <w:lang w:val="nl-NL"/>
        </w:rPr>
      </w:pPr>
      <w:r w:rsidRPr="002E11A8">
        <w:rPr>
          <w:rFonts w:eastAsia="Times New Roman" w:cs="Calibri"/>
          <w:szCs w:val="22"/>
          <w:lang w:val="nl-NL"/>
        </w:rPr>
        <w:t>Enkel regelmatige offertes komen in aanmerking om te worden getoetst aan de gunningscriteria.</w:t>
      </w:r>
    </w:p>
    <w:p w14:paraId="35328820" w14:textId="77777777" w:rsidR="009875B8" w:rsidRPr="009875B8" w:rsidRDefault="009875B8">
      <w:pPr>
        <w:pStyle w:val="Vade-mecumtitre2"/>
      </w:pPr>
      <w:bookmarkStart w:id="392" w:name="_Toc486536854"/>
      <w:bookmarkStart w:id="393" w:name="_Toc488155657"/>
      <w:bookmarkStart w:id="394" w:name="_Toc488313263"/>
      <w:bookmarkStart w:id="395" w:name="_Toc12453052"/>
      <w:bookmarkStart w:id="396" w:name="_Toc108509951"/>
      <w:bookmarkStart w:id="397" w:name="_Toc113544459"/>
      <w:bookmarkStart w:id="398" w:name="_Toc114066761"/>
      <w:bookmarkStart w:id="399" w:name="_Toc115882640"/>
      <w:bookmarkStart w:id="400" w:name="_Toc117601119"/>
      <w:r>
        <w:t>A11.3 Gunningscriteria</w:t>
      </w:r>
      <w:bookmarkEnd w:id="392"/>
      <w:bookmarkEnd w:id="393"/>
      <w:bookmarkEnd w:id="394"/>
      <w:bookmarkEnd w:id="395"/>
      <w:bookmarkEnd w:id="396"/>
      <w:bookmarkEnd w:id="397"/>
      <w:bookmarkEnd w:id="398"/>
      <w:bookmarkEnd w:id="399"/>
      <w:bookmarkEnd w:id="400"/>
    </w:p>
    <w:p w14:paraId="6E9CFB54" w14:textId="77777777" w:rsidR="009875B8" w:rsidRPr="009875B8" w:rsidRDefault="009875B8" w:rsidP="009875B8">
      <w:pPr>
        <w:widowControl w:val="0"/>
        <w:snapToGrid w:val="0"/>
        <w:spacing w:after="120" w:line="240" w:lineRule="auto"/>
        <w:ind w:firstLine="11"/>
        <w:jc w:val="both"/>
        <w:rPr>
          <w:rFonts w:cstheme="minorHAnsi"/>
          <w:szCs w:val="22"/>
          <w:lang w:val="nl-NL"/>
        </w:rPr>
      </w:pPr>
      <w:bookmarkStart w:id="401" w:name="_Toc529699988"/>
      <w:bookmarkStart w:id="402" w:name="_Toc529700604"/>
      <w:bookmarkStart w:id="403" w:name="_Toc529747460"/>
      <w:bookmarkStart w:id="404" w:name="_Toc230704"/>
      <w:bookmarkStart w:id="405" w:name="_Toc230758"/>
      <w:bookmarkStart w:id="406" w:name="_Toc12079553"/>
      <w:bookmarkStart w:id="407" w:name="_Toc12862749"/>
      <w:bookmarkStart w:id="408" w:name="_Toc19591208"/>
      <w:bookmarkStart w:id="409" w:name="_Toc232304324"/>
      <w:bookmarkStart w:id="410" w:name="_Toc347134754"/>
      <w:bookmarkStart w:id="411" w:name="_Toc486524230"/>
      <w:r w:rsidRPr="009875B8">
        <w:rPr>
          <w:rFonts w:cstheme="minorHAnsi"/>
          <w:szCs w:val="22"/>
          <w:lang w:val="nl-NL"/>
        </w:rPr>
        <w:t>Om deze overheidsopdracht te gunnen, baseert de aanbestedende overheid zich op de economisch meest voordelige</w:t>
      </w:r>
      <w:r w:rsidRPr="009875B8" w:rsidDel="00797625">
        <w:rPr>
          <w:rFonts w:cstheme="minorHAnsi"/>
          <w:szCs w:val="22"/>
          <w:lang w:val="nl-NL"/>
        </w:rPr>
        <w:t xml:space="preserve"> </w:t>
      </w:r>
      <w:r w:rsidRPr="009875B8">
        <w:rPr>
          <w:rFonts w:cstheme="minorHAnsi"/>
          <w:szCs w:val="22"/>
          <w:lang w:val="nl-NL"/>
        </w:rPr>
        <w:t>offerte. De regelmatige offertes van de geselecteerde inschrijvers zullen aan onderstaande gunningscriteria getoetst worden.</w:t>
      </w:r>
    </w:p>
    <w:p w14:paraId="1762BF34" w14:textId="77777777"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Deze criteria zullen gewogen worden teneinde een eindklassement te bekomen.</w:t>
      </w:r>
    </w:p>
    <w:p w14:paraId="61C68151" w14:textId="77777777" w:rsidR="000D1340" w:rsidRDefault="000D1340" w:rsidP="009875B8">
      <w:pPr>
        <w:widowControl w:val="0"/>
        <w:snapToGrid w:val="0"/>
        <w:spacing w:after="120" w:line="240" w:lineRule="auto"/>
        <w:ind w:firstLine="11"/>
        <w:jc w:val="both"/>
        <w:rPr>
          <w:rFonts w:cstheme="minorHAnsi"/>
          <w:szCs w:val="22"/>
          <w:lang w:val="nl-NL"/>
        </w:rPr>
      </w:pPr>
    </w:p>
    <w:p w14:paraId="2FE4E5F5" w14:textId="77777777" w:rsidR="000D1340" w:rsidRDefault="000D1340" w:rsidP="009875B8">
      <w:pPr>
        <w:widowControl w:val="0"/>
        <w:snapToGrid w:val="0"/>
        <w:spacing w:after="120" w:line="240" w:lineRule="auto"/>
        <w:ind w:firstLine="11"/>
        <w:jc w:val="both"/>
        <w:rPr>
          <w:rFonts w:cstheme="minorHAnsi"/>
          <w:szCs w:val="22"/>
          <w:lang w:val="nl-NL"/>
        </w:rPr>
      </w:pPr>
    </w:p>
    <w:p w14:paraId="424DE0C4" w14:textId="2E2DD8DA"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lastRenderedPageBreak/>
        <w:t>De gunningscriteria zijn de volgende:</w:t>
      </w:r>
    </w:p>
    <w:tbl>
      <w:tblPr>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1"/>
      </w:tblGrid>
      <w:tr w:rsidR="009875B8" w:rsidRPr="00D2271A" w14:paraId="07DB90D1" w14:textId="77777777">
        <w:tc>
          <w:tcPr>
            <w:tcW w:w="9141" w:type="dxa"/>
          </w:tcPr>
          <w:p w14:paraId="40B4A5DB" w14:textId="77777777" w:rsidR="009875B8" w:rsidRPr="00D2271A" w:rsidRDefault="009875B8">
            <w:pPr>
              <w:numPr>
                <w:ilvl w:val="0"/>
                <w:numId w:val="7"/>
              </w:numPr>
              <w:snapToGrid w:val="0"/>
              <w:spacing w:before="120" w:after="120" w:line="240" w:lineRule="auto"/>
              <w:ind w:firstLine="11"/>
              <w:jc w:val="both"/>
              <w:rPr>
                <w:rFonts w:cstheme="minorHAnsi"/>
                <w:szCs w:val="22"/>
                <w:lang w:val="nl-NL"/>
              </w:rPr>
            </w:pPr>
            <w:r w:rsidRPr="00D2271A">
              <w:rPr>
                <w:rFonts w:cstheme="minorHAnsi"/>
                <w:szCs w:val="22"/>
                <w:lang w:val="nl-NL"/>
              </w:rPr>
              <w:t>technische offerte (70%);</w:t>
            </w:r>
          </w:p>
          <w:p w14:paraId="6D4B968D" w14:textId="77777777" w:rsidR="009875B8" w:rsidRPr="00D2271A" w:rsidRDefault="009875B8">
            <w:pPr>
              <w:numPr>
                <w:ilvl w:val="0"/>
                <w:numId w:val="7"/>
              </w:numPr>
              <w:snapToGrid w:val="0"/>
              <w:spacing w:before="120" w:after="120" w:line="240" w:lineRule="auto"/>
              <w:ind w:firstLine="11"/>
              <w:jc w:val="both"/>
              <w:rPr>
                <w:rFonts w:cstheme="minorHAnsi"/>
                <w:szCs w:val="22"/>
                <w:lang w:val="nl-NL"/>
              </w:rPr>
            </w:pPr>
            <w:r w:rsidRPr="00D2271A">
              <w:rPr>
                <w:rFonts w:cstheme="minorHAnsi"/>
                <w:szCs w:val="22"/>
                <w:lang w:val="nl-NL"/>
              </w:rPr>
              <w:t>financiële offerte (30%).</w:t>
            </w:r>
          </w:p>
        </w:tc>
      </w:tr>
    </w:tbl>
    <w:p w14:paraId="0D4F637E" w14:textId="77777777" w:rsidR="009875B8" w:rsidRPr="00D2271A" w:rsidRDefault="009875B8" w:rsidP="009875B8">
      <w:pPr>
        <w:widowControl w:val="0"/>
        <w:snapToGrid w:val="0"/>
        <w:spacing w:after="120" w:line="240" w:lineRule="auto"/>
        <w:ind w:firstLine="11"/>
        <w:jc w:val="both"/>
        <w:rPr>
          <w:rFonts w:cstheme="minorHAnsi"/>
          <w:szCs w:val="22"/>
          <w:lang w:val="nl-NL"/>
        </w:rPr>
      </w:pPr>
    </w:p>
    <w:p w14:paraId="39A889C7" w14:textId="081CD621" w:rsidR="009875B8" w:rsidRPr="009875B8" w:rsidRDefault="009875B8" w:rsidP="009875B8">
      <w:pPr>
        <w:widowControl w:val="0"/>
        <w:snapToGrid w:val="0"/>
        <w:spacing w:after="120" w:line="240" w:lineRule="auto"/>
        <w:ind w:firstLine="11"/>
        <w:jc w:val="both"/>
        <w:rPr>
          <w:rFonts w:cstheme="minorHAnsi"/>
          <w:szCs w:val="22"/>
          <w:lang w:val="nl-NL"/>
        </w:rPr>
      </w:pPr>
      <w:r w:rsidRPr="00D2271A">
        <w:rPr>
          <w:rFonts w:cstheme="minorHAnsi"/>
          <w:b/>
          <w:szCs w:val="22"/>
          <w:lang w:val="nl-NL"/>
        </w:rPr>
        <w:t xml:space="preserve">Voor de technische offerte moet de inschrijver </w:t>
      </w:r>
      <w:r w:rsidR="00CF1653" w:rsidRPr="00D2271A">
        <w:rPr>
          <w:rFonts w:cstheme="minorHAnsi"/>
          <w:b/>
          <w:szCs w:val="22"/>
          <w:lang w:val="nl-NL"/>
        </w:rPr>
        <w:t>6</w:t>
      </w:r>
      <w:r w:rsidRPr="00D2271A">
        <w:rPr>
          <w:rFonts w:cstheme="minorHAnsi"/>
          <w:b/>
          <w:szCs w:val="22"/>
          <w:lang w:val="nl-NL"/>
        </w:rPr>
        <w:t>0% van de punten met betrekking tot dit criterium behalen.</w:t>
      </w:r>
      <w:r w:rsidRPr="00D2271A">
        <w:rPr>
          <w:rFonts w:cstheme="minorHAnsi"/>
          <w:szCs w:val="22"/>
          <w:lang w:val="nl-NL"/>
        </w:rPr>
        <w:t xml:space="preserve"> Zo niet wordt de offerte niet weerhouden.</w:t>
      </w:r>
    </w:p>
    <w:p w14:paraId="31540CCD" w14:textId="77777777" w:rsidR="00432660" w:rsidRDefault="00432660" w:rsidP="009875B8">
      <w:pPr>
        <w:widowControl w:val="0"/>
        <w:snapToGrid w:val="0"/>
        <w:spacing w:after="120" w:line="240" w:lineRule="auto"/>
        <w:ind w:firstLine="11"/>
        <w:jc w:val="both"/>
        <w:rPr>
          <w:lang w:val="nl-NL"/>
        </w:rPr>
      </w:pPr>
      <w:r w:rsidRPr="00432660">
        <w:rPr>
          <w:lang w:val="nl-NL"/>
        </w:rPr>
        <w:t xml:space="preserve">De quotering voor de </w:t>
      </w:r>
      <w:r w:rsidRPr="00D2271A">
        <w:rPr>
          <w:lang w:val="nl-NL"/>
        </w:rPr>
        <w:t>twee</w:t>
      </w:r>
      <w:r w:rsidRPr="00432660">
        <w:rPr>
          <w:lang w:val="nl-NL"/>
        </w:rPr>
        <w:t xml:space="preserve"> gunningscriteria zullen worden opgeteld. De opdracht zal worden gegund aan de inschrijver met de hoogste eindquotering, nadat de aanbestedende overheid de juistheid van zijn verklaring in het kader van het UEA geverifieerd heeft door na te gaan of de inschrijver zich niet in een uitsluitingsgrond bevindt en of hij aan alle selectiecriteria voldoet.  </w:t>
      </w:r>
    </w:p>
    <w:p w14:paraId="376244BC" w14:textId="1FEBBA3A"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 xml:space="preserve">De evaluatie van de gunningscriteria </w:t>
      </w:r>
      <w:r w:rsidRPr="00D2271A">
        <w:rPr>
          <w:rFonts w:cstheme="minorHAnsi"/>
          <w:szCs w:val="22"/>
          <w:lang w:val="nl-NL"/>
        </w:rPr>
        <w:t>gebeurt als volgt (zoals bepaald in deel B. Technische voorschriften):</w:t>
      </w:r>
    </w:p>
    <w:p w14:paraId="4FF3A228" w14:textId="6F0347C8" w:rsidR="009875B8" w:rsidRPr="009875B8"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9875B8">
        <w:rPr>
          <w:rFonts w:cstheme="minorHAnsi"/>
          <w:szCs w:val="22"/>
          <w:lang w:val="nl-NL"/>
        </w:rPr>
        <w:t xml:space="preserve">Het eerste gunningscriterium (technische offerte – </w:t>
      </w:r>
      <w:r w:rsidR="00D63F0F">
        <w:rPr>
          <w:rFonts w:cstheme="minorHAnsi"/>
          <w:szCs w:val="22"/>
          <w:lang w:val="nl-NL"/>
        </w:rPr>
        <w:t>7</w:t>
      </w:r>
      <w:r w:rsidRPr="009875B8">
        <w:rPr>
          <w:rFonts w:cstheme="minorHAnsi"/>
          <w:szCs w:val="22"/>
          <w:lang w:val="nl-NL"/>
        </w:rPr>
        <w:t>0%) zal worden geëvalueerd op basis van:</w:t>
      </w:r>
    </w:p>
    <w:p w14:paraId="4AD99CD7" w14:textId="696DA0F5" w:rsidR="0006618F" w:rsidRPr="007100CA" w:rsidRDefault="0006618F">
      <w:pPr>
        <w:numPr>
          <w:ilvl w:val="1"/>
          <w:numId w:val="5"/>
        </w:numPr>
        <w:pBdr>
          <w:top w:val="nil"/>
          <w:left w:val="nil"/>
          <w:bottom w:val="nil"/>
          <w:right w:val="nil"/>
          <w:between w:val="nil"/>
          <w:bar w:val="nil"/>
        </w:pBdr>
        <w:snapToGrid w:val="0"/>
        <w:spacing w:after="120" w:line="240" w:lineRule="auto"/>
        <w:contextualSpacing/>
        <w:jc w:val="both"/>
        <w:rPr>
          <w:lang w:val="nl-NL"/>
        </w:rPr>
      </w:pPr>
      <w:r w:rsidRPr="007100CA">
        <w:rPr>
          <w:lang w:val="nl-NL"/>
        </w:rPr>
        <w:t>de voorgestelde methodologie, methodologisch</w:t>
      </w:r>
      <w:r w:rsidR="00694ABE" w:rsidRPr="007100CA">
        <w:rPr>
          <w:lang w:val="nl-NL"/>
        </w:rPr>
        <w:t xml:space="preserve"> overzicht </w:t>
      </w:r>
      <w:r w:rsidRPr="007100CA">
        <w:rPr>
          <w:lang w:val="nl-NL"/>
        </w:rPr>
        <w:t xml:space="preserve">en het begrip van de referentietermen (20%); </w:t>
      </w:r>
    </w:p>
    <w:p w14:paraId="1962D241" w14:textId="24B36DD0" w:rsidR="0006618F" w:rsidRPr="007100CA" w:rsidRDefault="007E2CAD">
      <w:pPr>
        <w:numPr>
          <w:ilvl w:val="1"/>
          <w:numId w:val="5"/>
        </w:numPr>
        <w:pBdr>
          <w:top w:val="nil"/>
          <w:left w:val="nil"/>
          <w:bottom w:val="nil"/>
          <w:right w:val="nil"/>
          <w:between w:val="nil"/>
          <w:bar w:val="nil"/>
        </w:pBdr>
        <w:snapToGrid w:val="0"/>
        <w:spacing w:after="120" w:line="240" w:lineRule="auto"/>
        <w:contextualSpacing/>
        <w:jc w:val="both"/>
        <w:rPr>
          <w:lang w:val="nl-NL"/>
        </w:rPr>
      </w:pPr>
      <w:r w:rsidRPr="007100CA">
        <w:rPr>
          <w:lang w:val="nl-NL"/>
        </w:rPr>
        <w:t>de praktische aanpak van de evaluatie per fase</w:t>
      </w:r>
      <w:r w:rsidR="00071699" w:rsidRPr="007100CA">
        <w:rPr>
          <w:lang w:val="nl-NL"/>
        </w:rPr>
        <w:t xml:space="preserve"> </w:t>
      </w:r>
      <w:r w:rsidRPr="007100CA">
        <w:rPr>
          <w:lang w:val="nl-NL"/>
        </w:rPr>
        <w:t xml:space="preserve">en </w:t>
      </w:r>
      <w:r w:rsidR="0006618F" w:rsidRPr="007100CA">
        <w:rPr>
          <w:lang w:val="nl-NL"/>
        </w:rPr>
        <w:t>de onderlinge taakverdeling (</w:t>
      </w:r>
      <w:r w:rsidR="7D40AF42" w:rsidRPr="007100CA">
        <w:rPr>
          <w:lang w:val="nl-NL"/>
        </w:rPr>
        <w:t>15</w:t>
      </w:r>
      <w:r w:rsidR="0006618F" w:rsidRPr="007100CA">
        <w:rPr>
          <w:lang w:val="nl-NL"/>
        </w:rPr>
        <w:t xml:space="preserve">%); </w:t>
      </w:r>
    </w:p>
    <w:p w14:paraId="7F28BB89" w14:textId="5F439EA3" w:rsidR="0006618F" w:rsidRPr="007100CA" w:rsidRDefault="0006618F">
      <w:pPr>
        <w:numPr>
          <w:ilvl w:val="1"/>
          <w:numId w:val="5"/>
        </w:numPr>
        <w:pBdr>
          <w:top w:val="nil"/>
          <w:left w:val="nil"/>
          <w:bottom w:val="nil"/>
          <w:right w:val="nil"/>
          <w:between w:val="nil"/>
          <w:bar w:val="nil"/>
        </w:pBdr>
        <w:snapToGrid w:val="0"/>
        <w:spacing w:after="120" w:line="240" w:lineRule="auto"/>
        <w:contextualSpacing/>
        <w:jc w:val="both"/>
        <w:rPr>
          <w:lang w:val="nl-NL"/>
        </w:rPr>
      </w:pPr>
      <w:r w:rsidRPr="007100CA">
        <w:rPr>
          <w:lang w:val="nl-NL"/>
        </w:rPr>
        <w:t>de expertise en ervaring van de teamleider (</w:t>
      </w:r>
      <w:r w:rsidR="00CA27D9" w:rsidRPr="007100CA">
        <w:rPr>
          <w:lang w:val="nl-NL"/>
        </w:rPr>
        <w:t>15</w:t>
      </w:r>
      <w:r w:rsidRPr="007100CA">
        <w:rPr>
          <w:lang w:val="nl-NL"/>
        </w:rPr>
        <w:t xml:space="preserve">%); </w:t>
      </w:r>
    </w:p>
    <w:p w14:paraId="58AF7240" w14:textId="6BC2B3AB" w:rsidR="0006618F" w:rsidRPr="007100CA" w:rsidRDefault="0006618F">
      <w:pPr>
        <w:numPr>
          <w:ilvl w:val="1"/>
          <w:numId w:val="5"/>
        </w:numPr>
        <w:pBdr>
          <w:top w:val="nil"/>
          <w:left w:val="nil"/>
          <w:bottom w:val="nil"/>
          <w:right w:val="nil"/>
          <w:between w:val="nil"/>
          <w:bar w:val="nil"/>
        </w:pBdr>
        <w:snapToGrid w:val="0"/>
        <w:spacing w:after="120" w:line="240" w:lineRule="auto"/>
        <w:contextualSpacing/>
        <w:jc w:val="both"/>
        <w:rPr>
          <w:lang w:val="nl-NL"/>
        </w:rPr>
      </w:pPr>
      <w:r w:rsidRPr="007100CA">
        <w:rPr>
          <w:lang w:val="nl-NL"/>
        </w:rPr>
        <w:t>de expertise en ervaring van de teamleden</w:t>
      </w:r>
      <w:r w:rsidR="00552C7D">
        <w:rPr>
          <w:lang w:val="nl-NL"/>
        </w:rPr>
        <w:t xml:space="preserve">, zowel de internationale als de </w:t>
      </w:r>
      <w:r w:rsidR="00984955">
        <w:rPr>
          <w:lang w:val="nl-NL"/>
        </w:rPr>
        <w:t>lokale experten</w:t>
      </w:r>
      <w:r w:rsidRPr="007100CA">
        <w:rPr>
          <w:lang w:val="nl-NL"/>
        </w:rPr>
        <w:t xml:space="preserve"> (</w:t>
      </w:r>
      <w:r w:rsidR="2EC589BA" w:rsidRPr="007100CA">
        <w:rPr>
          <w:lang w:val="nl-NL"/>
        </w:rPr>
        <w:t>20</w:t>
      </w:r>
      <w:r w:rsidRPr="007100CA">
        <w:rPr>
          <w:lang w:val="nl-NL"/>
        </w:rPr>
        <w:t>%).</w:t>
      </w:r>
    </w:p>
    <w:p w14:paraId="45A75959" w14:textId="77777777" w:rsidR="009875B8" w:rsidRPr="009875B8" w:rsidRDefault="009875B8" w:rsidP="0006618F">
      <w:pPr>
        <w:spacing w:after="120" w:line="240" w:lineRule="auto"/>
        <w:jc w:val="both"/>
        <w:rPr>
          <w:rFonts w:eastAsia="Verdana"/>
          <w:szCs w:val="22"/>
          <w:highlight w:val="yellow"/>
          <w:lang w:val="nl-NL"/>
        </w:rPr>
      </w:pPr>
    </w:p>
    <w:p w14:paraId="401B743D" w14:textId="77777777" w:rsidR="009875B8" w:rsidRPr="009875B8" w:rsidRDefault="009875B8">
      <w:pPr>
        <w:numPr>
          <w:ilvl w:val="0"/>
          <w:numId w:val="6"/>
        </w:numPr>
        <w:pBdr>
          <w:top w:val="nil"/>
          <w:left w:val="nil"/>
          <w:bottom w:val="nil"/>
          <w:right w:val="nil"/>
          <w:between w:val="nil"/>
          <w:bar w:val="nil"/>
        </w:pBdr>
        <w:tabs>
          <w:tab w:val="left" w:pos="5340"/>
        </w:tabs>
        <w:snapToGrid w:val="0"/>
        <w:spacing w:before="120" w:after="120" w:line="240" w:lineRule="auto"/>
        <w:ind w:left="357" w:hanging="357"/>
        <w:jc w:val="both"/>
        <w:rPr>
          <w:rFonts w:cstheme="minorHAnsi"/>
          <w:szCs w:val="22"/>
          <w:lang w:val="nl-NL"/>
        </w:rPr>
      </w:pPr>
      <w:r w:rsidRPr="009875B8">
        <w:rPr>
          <w:rFonts w:cstheme="minorHAnsi"/>
          <w:szCs w:val="22"/>
          <w:lang w:val="nl-NL"/>
        </w:rPr>
        <w:t>Het tweede gunningscriterium (financiële offerte – 30%) zal worden geëvalueerd op basis van de globale vaste prijs (30%): de quotering (QPX) voor de prijs van een offerte X wordt als volgt berekend: QPX = 30 x (prijs van de laagste offerte) / (prijs van de offerte X).</w:t>
      </w:r>
    </w:p>
    <w:p w14:paraId="784717E1" w14:textId="6059C67C" w:rsidR="009875B8" w:rsidRDefault="009875B8" w:rsidP="0032340C">
      <w:pPr>
        <w:pStyle w:val="Vade-mecumtitre1"/>
        <w:numPr>
          <w:ilvl w:val="0"/>
          <w:numId w:val="0"/>
        </w:numPr>
        <w:ind w:left="432" w:hanging="432"/>
      </w:pPr>
      <w:bookmarkStart w:id="412" w:name="_Toc487533685"/>
      <w:bookmarkStart w:id="413" w:name="_Toc12453053"/>
      <w:bookmarkStart w:id="414" w:name="_Toc77719404"/>
      <w:bookmarkStart w:id="415" w:name="_Toc108509952"/>
      <w:bookmarkStart w:id="416" w:name="_Toc117601120"/>
      <w:r w:rsidRPr="009875B8">
        <w:t>A12. Borgtocht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344005F5" w14:textId="77777777" w:rsidR="002E704D" w:rsidRPr="002E704D" w:rsidRDefault="002E704D" w:rsidP="008F55E4">
      <w:pPr>
        <w:pStyle w:val="Vade-Mecum0"/>
        <w:spacing w:line="240" w:lineRule="auto"/>
        <w:jc w:val="both"/>
        <w:rPr>
          <w:lang w:val="nl-NL"/>
        </w:rPr>
      </w:pPr>
      <w:bookmarkStart w:id="417" w:name="_Toc113544078"/>
      <w:r w:rsidRPr="002E704D">
        <w:rPr>
          <w:lang w:val="nl-NL"/>
        </w:rPr>
        <w:t>De borgtocht bedraagt 5% van het totaalbedrag, excl. BTW, van de opdracht. Het aldus bekomen bedrag wordt afgerond naar het hoger gelegen tiental EURO.</w:t>
      </w:r>
      <w:bookmarkEnd w:id="417"/>
    </w:p>
    <w:p w14:paraId="17315662" w14:textId="77777777" w:rsidR="002E704D" w:rsidRPr="002E704D" w:rsidRDefault="002E704D" w:rsidP="008F55E4">
      <w:pPr>
        <w:pStyle w:val="Vade-Mecum0"/>
        <w:spacing w:line="240" w:lineRule="auto"/>
        <w:jc w:val="both"/>
        <w:rPr>
          <w:lang w:val="nl-NL"/>
        </w:rPr>
      </w:pPr>
      <w:bookmarkStart w:id="418" w:name="_Toc113544079"/>
      <w:r w:rsidRPr="002E704D">
        <w:rPr>
          <w:lang w:val="nl-NL"/>
        </w:rPr>
        <w:t>Overeenkomstig de wets- en reglementsbepalingen ter zake kan de borgtocht hetzij in speciën of publieke fondsen, hetzij onder de vorm van een gezamenlijke borgtochtstelling worden gesteld.</w:t>
      </w:r>
      <w:bookmarkEnd w:id="418"/>
    </w:p>
    <w:p w14:paraId="5ACBA0ED" w14:textId="77777777" w:rsidR="002E704D" w:rsidRPr="002E704D" w:rsidRDefault="002E704D" w:rsidP="008F55E4">
      <w:pPr>
        <w:pStyle w:val="Vade-Mecum0"/>
        <w:spacing w:line="240" w:lineRule="auto"/>
        <w:jc w:val="both"/>
        <w:rPr>
          <w:lang w:val="nl-NL"/>
        </w:rPr>
      </w:pPr>
      <w:bookmarkStart w:id="419" w:name="_Toc113544080"/>
      <w:r w:rsidRPr="002E704D">
        <w:rPr>
          <w:lang w:val="nl-NL"/>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bookmarkEnd w:id="419"/>
    </w:p>
    <w:p w14:paraId="50E98E32" w14:textId="77777777" w:rsidR="002E704D" w:rsidRPr="002E704D" w:rsidRDefault="002E704D" w:rsidP="008F55E4">
      <w:pPr>
        <w:pStyle w:val="Vade-Mecum0"/>
        <w:spacing w:line="240" w:lineRule="auto"/>
        <w:jc w:val="both"/>
        <w:rPr>
          <w:lang w:val="nl-NL"/>
        </w:rPr>
      </w:pPr>
      <w:bookmarkStart w:id="420" w:name="_Toc113544081"/>
      <w:r w:rsidRPr="002E704D">
        <w:rPr>
          <w:lang w:val="nl-NL"/>
        </w:rPr>
        <w:t xml:space="preserve">De opdrachtnemer moet, </w:t>
      </w:r>
      <w:r w:rsidRPr="002E704D">
        <w:rPr>
          <w:b/>
          <w:lang w:val="nl-NL"/>
        </w:rPr>
        <w:t>binnen de dertig kalenderdagen volgend op de dag van het sluiten van de opdracht</w:t>
      </w:r>
      <w:r w:rsidRPr="002E704D">
        <w:rPr>
          <w:lang w:val="nl-NL"/>
        </w:rPr>
        <w:t>, het bewijs leveren dat hij of een derde de borgtocht op een van de volgende wijzen heeft gesteld:</w:t>
      </w:r>
      <w:bookmarkEnd w:id="420"/>
    </w:p>
    <w:p w14:paraId="2B00F5CC" w14:textId="1652A69A" w:rsidR="002E704D" w:rsidRPr="002E704D" w:rsidRDefault="002E704D" w:rsidP="008F55E4">
      <w:pPr>
        <w:pStyle w:val="Vade-Mecum0"/>
        <w:spacing w:line="240" w:lineRule="auto"/>
        <w:jc w:val="both"/>
        <w:rPr>
          <w:lang w:val="nl-NL"/>
        </w:rPr>
      </w:pPr>
      <w:bookmarkStart w:id="421" w:name="_Toc113544082"/>
      <w:r w:rsidRPr="002E704D">
        <w:rPr>
          <w:lang w:val="nl-NL"/>
        </w:rPr>
        <w:lastRenderedPageBreak/>
        <w:t>1°</w:t>
      </w:r>
      <w:r w:rsidRPr="002E704D">
        <w:rPr>
          <w:lang w:val="nl-NL"/>
        </w:rPr>
        <w:tab/>
      </w:r>
      <w:r w:rsidR="005B35C3" w:rsidRPr="002A436D">
        <w:rPr>
          <w:color w:val="000000"/>
          <w:szCs w:val="22"/>
          <w:lang w:val="nl-NL"/>
        </w:rPr>
        <w:t>de borgstelling via de Deposito- en Consignatiekas gebeurt thans uitsluitend door gebruik te maken van de online toepassing E-DEPO, voor meer informatie www.depositokas.be;</w:t>
      </w:r>
      <w:bookmarkEnd w:id="421"/>
    </w:p>
    <w:p w14:paraId="5EE26095" w14:textId="77777777" w:rsidR="002E704D" w:rsidRPr="002E704D" w:rsidRDefault="002E704D" w:rsidP="008F55E4">
      <w:pPr>
        <w:pStyle w:val="Vade-Mecum0"/>
        <w:spacing w:line="240" w:lineRule="auto"/>
        <w:jc w:val="both"/>
        <w:rPr>
          <w:lang w:val="nl-NL"/>
        </w:rPr>
      </w:pPr>
      <w:bookmarkStart w:id="422" w:name="_Toc113544083"/>
      <w:r w:rsidRPr="002E704D">
        <w:rPr>
          <w:lang w:val="nl-NL"/>
        </w:rPr>
        <w:t xml:space="preserve">2° </w:t>
      </w:r>
      <w:r w:rsidRPr="002E704D">
        <w:rPr>
          <w:lang w:val="nl-NL"/>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bookmarkEnd w:id="422"/>
    </w:p>
    <w:p w14:paraId="2DA02D4A" w14:textId="77777777" w:rsidR="002E704D" w:rsidRPr="002E704D" w:rsidRDefault="002E704D" w:rsidP="008F55E4">
      <w:pPr>
        <w:pStyle w:val="Vade-Mecum0"/>
        <w:spacing w:line="240" w:lineRule="auto"/>
        <w:jc w:val="both"/>
        <w:rPr>
          <w:lang w:val="nl-NL"/>
        </w:rPr>
      </w:pPr>
      <w:bookmarkStart w:id="423" w:name="_Toc113544084"/>
      <w:r w:rsidRPr="002E704D">
        <w:rPr>
          <w:lang w:val="nl-NL"/>
        </w:rPr>
        <w:t>3°</w:t>
      </w:r>
      <w:r w:rsidRPr="002E704D">
        <w:rPr>
          <w:lang w:val="nl-NL"/>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bookmarkEnd w:id="423"/>
    </w:p>
    <w:p w14:paraId="74F63EB4" w14:textId="77777777" w:rsidR="002E704D" w:rsidRPr="002E704D" w:rsidRDefault="002E704D" w:rsidP="008F55E4">
      <w:pPr>
        <w:pStyle w:val="Vade-Mecum0"/>
        <w:spacing w:line="240" w:lineRule="auto"/>
        <w:jc w:val="both"/>
        <w:rPr>
          <w:lang w:val="nl-NL"/>
        </w:rPr>
      </w:pPr>
      <w:bookmarkStart w:id="424" w:name="_Toc113544085"/>
      <w:r w:rsidRPr="002E704D">
        <w:rPr>
          <w:lang w:val="nl-NL"/>
        </w:rPr>
        <w:t>4°</w:t>
      </w:r>
      <w:r w:rsidRPr="002E704D">
        <w:rPr>
          <w:lang w:val="nl-NL"/>
        </w:rPr>
        <w:tab/>
        <w:t>wanneer de borgtocht gesteld wordt door middel van een waarborg, door de verbintenisakte van de kredietinstelling of van de verzekeringsonderneming.</w:t>
      </w:r>
      <w:bookmarkEnd w:id="424"/>
    </w:p>
    <w:p w14:paraId="25D082E4" w14:textId="77777777" w:rsidR="002E704D" w:rsidRPr="002E704D" w:rsidRDefault="002E704D" w:rsidP="008F55E4">
      <w:pPr>
        <w:pStyle w:val="Vade-Mecum0"/>
        <w:spacing w:line="240" w:lineRule="auto"/>
        <w:jc w:val="both"/>
        <w:rPr>
          <w:lang w:val="nl-NL"/>
        </w:rPr>
      </w:pPr>
      <w:bookmarkStart w:id="425" w:name="_Toc113544086"/>
      <w:r w:rsidRPr="002E704D">
        <w:rPr>
          <w:lang w:val="nl-NL"/>
        </w:rPr>
        <w:t>Dit bewijs wordt geleverd, naargelang van het geval, door overlegging aan de aanbestedende overheid van:</w:t>
      </w:r>
      <w:bookmarkEnd w:id="425"/>
    </w:p>
    <w:p w14:paraId="4B3A3646" w14:textId="77777777" w:rsidR="002E704D" w:rsidRPr="002E704D" w:rsidRDefault="002E704D" w:rsidP="008F55E4">
      <w:pPr>
        <w:pStyle w:val="Vade-Mecum0"/>
        <w:spacing w:line="240" w:lineRule="auto"/>
        <w:jc w:val="both"/>
        <w:rPr>
          <w:lang w:val="nl-NL"/>
        </w:rPr>
      </w:pPr>
      <w:bookmarkStart w:id="426" w:name="_Toc113544087"/>
      <w:r w:rsidRPr="002E704D">
        <w:rPr>
          <w:lang w:val="nl-NL"/>
        </w:rPr>
        <w:t>1°</w:t>
      </w:r>
      <w:r w:rsidRPr="002E704D">
        <w:rPr>
          <w:lang w:val="nl-NL"/>
        </w:rPr>
        <w:tab/>
        <w:t>hetzij het ontvangstbewijs van de Deposito- en Consignatiekas of van een openbare instelling die een gelijkaardige functie vervult;</w:t>
      </w:r>
      <w:bookmarkEnd w:id="426"/>
    </w:p>
    <w:p w14:paraId="13410648" w14:textId="77777777" w:rsidR="002E704D" w:rsidRPr="002E704D" w:rsidRDefault="002E704D" w:rsidP="008F55E4">
      <w:pPr>
        <w:pStyle w:val="Vade-Mecum0"/>
        <w:spacing w:line="240" w:lineRule="auto"/>
        <w:jc w:val="both"/>
        <w:rPr>
          <w:lang w:val="nl-NL"/>
        </w:rPr>
      </w:pPr>
      <w:bookmarkStart w:id="427" w:name="_Toc113544088"/>
      <w:r w:rsidRPr="002E704D">
        <w:rPr>
          <w:lang w:val="nl-NL"/>
        </w:rPr>
        <w:t>2°</w:t>
      </w:r>
      <w:r w:rsidRPr="002E704D">
        <w:rPr>
          <w:lang w:val="nl-NL"/>
        </w:rPr>
        <w:tab/>
        <w:t>hetzij het debet bericht van de kredietinstelling of van de verzekeringsonderneming;</w:t>
      </w:r>
      <w:bookmarkEnd w:id="427"/>
    </w:p>
    <w:p w14:paraId="409AAC62" w14:textId="77777777" w:rsidR="002E704D" w:rsidRPr="002E704D" w:rsidRDefault="002E704D" w:rsidP="008F55E4">
      <w:pPr>
        <w:pStyle w:val="Vade-Mecum0"/>
        <w:spacing w:line="240" w:lineRule="auto"/>
        <w:jc w:val="both"/>
        <w:rPr>
          <w:lang w:val="nl-NL"/>
        </w:rPr>
      </w:pPr>
      <w:bookmarkStart w:id="428" w:name="_Toc113544089"/>
      <w:r w:rsidRPr="002E704D">
        <w:rPr>
          <w:lang w:val="nl-NL"/>
        </w:rPr>
        <w:t>3°</w:t>
      </w:r>
      <w:r w:rsidRPr="002E704D">
        <w:rPr>
          <w:lang w:val="nl-NL"/>
        </w:rPr>
        <w:tab/>
        <w:t>hetzij het deposito-attest van de Rijkskassier of van een openbare instelling die een gelijkaardige functie vervult;</w:t>
      </w:r>
      <w:bookmarkEnd w:id="428"/>
    </w:p>
    <w:p w14:paraId="08D3F63C" w14:textId="77777777" w:rsidR="002E704D" w:rsidRPr="002E704D" w:rsidRDefault="002E704D" w:rsidP="008F55E4">
      <w:pPr>
        <w:pStyle w:val="Vade-Mecum0"/>
        <w:spacing w:line="240" w:lineRule="auto"/>
        <w:jc w:val="both"/>
        <w:rPr>
          <w:lang w:val="nl-NL"/>
        </w:rPr>
      </w:pPr>
      <w:bookmarkStart w:id="429" w:name="_Toc113544090"/>
      <w:r w:rsidRPr="002E704D">
        <w:rPr>
          <w:lang w:val="nl-NL"/>
        </w:rPr>
        <w:t>4°</w:t>
      </w:r>
      <w:r w:rsidRPr="002E704D">
        <w:rPr>
          <w:lang w:val="nl-NL"/>
        </w:rPr>
        <w:tab/>
        <w:t>hetzij de originele akte van solidaire borg, geviseerd door de Deposito- en Consignatiekas of van een openbare instelling die een gelijkaardige functie vervult;</w:t>
      </w:r>
      <w:bookmarkEnd w:id="429"/>
    </w:p>
    <w:p w14:paraId="469A0BFA" w14:textId="77777777" w:rsidR="002E704D" w:rsidRPr="002E704D" w:rsidRDefault="002E704D" w:rsidP="008F55E4">
      <w:pPr>
        <w:pStyle w:val="Vade-Mecum0"/>
        <w:spacing w:line="240" w:lineRule="auto"/>
        <w:jc w:val="both"/>
        <w:rPr>
          <w:lang w:val="nl-NL"/>
        </w:rPr>
      </w:pPr>
      <w:bookmarkStart w:id="430" w:name="_Toc113544091"/>
      <w:r w:rsidRPr="002E704D">
        <w:rPr>
          <w:lang w:val="nl-NL"/>
        </w:rPr>
        <w:t>5°</w:t>
      </w:r>
      <w:r w:rsidRPr="002E704D">
        <w:rPr>
          <w:lang w:val="nl-NL"/>
        </w:rPr>
        <w:tab/>
        <w:t>hetzij het origineel van de verbintenisakte opgemaakt door de kredietinstelling of de verzekeringsonderneming die een waarborg heeft toegestaan.</w:t>
      </w:r>
      <w:bookmarkEnd w:id="430"/>
    </w:p>
    <w:p w14:paraId="1ECA47CB" w14:textId="77777777" w:rsidR="002E704D" w:rsidRPr="002E704D" w:rsidRDefault="002E704D" w:rsidP="008F55E4">
      <w:pPr>
        <w:pStyle w:val="Vade-Mecum0"/>
        <w:spacing w:line="240" w:lineRule="auto"/>
        <w:jc w:val="both"/>
        <w:rPr>
          <w:lang w:val="nl-NL"/>
        </w:rPr>
      </w:pPr>
      <w:bookmarkStart w:id="431" w:name="_Toc113544092"/>
      <w:r w:rsidRPr="002E704D">
        <w:rPr>
          <w:lang w:val="nl-NL"/>
        </w:rPr>
        <w:t>Deze documenten, ondertekend door de deponent, vermelden waarvoor de borgtocht 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bookmarkEnd w:id="431"/>
    </w:p>
    <w:p w14:paraId="513105A5" w14:textId="77777777" w:rsidR="002E704D" w:rsidRPr="002E704D" w:rsidRDefault="002E704D" w:rsidP="008F55E4">
      <w:pPr>
        <w:pStyle w:val="Vade-Mecum0"/>
        <w:spacing w:line="240" w:lineRule="auto"/>
        <w:jc w:val="both"/>
        <w:rPr>
          <w:lang w:val="nl-NL"/>
        </w:rPr>
      </w:pPr>
      <w:bookmarkStart w:id="432" w:name="_Toc113544093"/>
      <w:r w:rsidRPr="002E704D">
        <w:rPr>
          <w:lang w:val="nl-NL"/>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bookmarkEnd w:id="432"/>
    </w:p>
    <w:p w14:paraId="6E3B87AB" w14:textId="77777777" w:rsidR="00512CDA" w:rsidRDefault="002E704D" w:rsidP="008F55E4">
      <w:pPr>
        <w:pStyle w:val="Vade-Mecum0"/>
        <w:spacing w:line="240" w:lineRule="auto"/>
        <w:jc w:val="both"/>
        <w:rPr>
          <w:lang w:val="nl-NL"/>
        </w:rPr>
      </w:pPr>
      <w:bookmarkStart w:id="433" w:name="_Toc113544094"/>
      <w:r w:rsidRPr="002E704D">
        <w:rPr>
          <w:lang w:val="nl-NL"/>
        </w:rPr>
        <w:t>Het bewijs van borgtochtstelling dient te worden gezonden aan het adres dat zal worden vermeld in de kennisgeving van het sluiten van de opdracht.</w:t>
      </w:r>
    </w:p>
    <w:p w14:paraId="60B26F0B" w14:textId="7CD0B07D" w:rsidR="002E704D" w:rsidRPr="002E704D" w:rsidRDefault="002E704D" w:rsidP="008F55E4">
      <w:pPr>
        <w:pStyle w:val="Vade-Mecum0"/>
        <w:spacing w:line="240" w:lineRule="auto"/>
        <w:jc w:val="both"/>
        <w:rPr>
          <w:lang w:val="nl-NL"/>
        </w:rPr>
      </w:pPr>
      <w:r w:rsidRPr="002E704D">
        <w:rPr>
          <w:lang w:val="nl-NL"/>
        </w:rPr>
        <w:t>De borgtocht wordt onmiddellijk vrijgegeven na definitieve oplevering en aanvaarding van alle diensten die worden uitgevoerd op basis van dit bestek en andere contractuele documenten.</w:t>
      </w:r>
      <w:bookmarkEnd w:id="433"/>
      <w:r w:rsidRPr="002E704D">
        <w:rPr>
          <w:lang w:val="nl-NL"/>
        </w:rPr>
        <w:t xml:space="preserve"> </w:t>
      </w:r>
    </w:p>
    <w:p w14:paraId="00A667B7" w14:textId="77777777" w:rsidR="009875B8" w:rsidRPr="009875B8" w:rsidRDefault="009875B8" w:rsidP="0032340C">
      <w:pPr>
        <w:pStyle w:val="Vade-mecumtitre1"/>
        <w:numPr>
          <w:ilvl w:val="0"/>
          <w:numId w:val="0"/>
        </w:numPr>
        <w:ind w:left="432" w:hanging="432"/>
      </w:pPr>
      <w:bookmarkStart w:id="434" w:name="_Toc3886182"/>
      <w:bookmarkStart w:id="435" w:name="_Toc486513985"/>
      <w:bookmarkStart w:id="436" w:name="_Toc1985163"/>
      <w:bookmarkStart w:id="437" w:name="_Toc12453054"/>
      <w:bookmarkStart w:id="438" w:name="_Toc77719405"/>
      <w:bookmarkStart w:id="439" w:name="_Toc108509953"/>
      <w:bookmarkStart w:id="440" w:name="_Toc117601121"/>
      <w:r w:rsidRPr="009875B8">
        <w:lastRenderedPageBreak/>
        <w:t>A13. Wijziging tijdens de uitvoering van de opdracht</w:t>
      </w:r>
      <w:bookmarkEnd w:id="434"/>
      <w:bookmarkEnd w:id="435"/>
      <w:bookmarkEnd w:id="436"/>
      <w:bookmarkEnd w:id="437"/>
      <w:bookmarkEnd w:id="438"/>
      <w:bookmarkEnd w:id="439"/>
      <w:bookmarkEnd w:id="440"/>
    </w:p>
    <w:p w14:paraId="11EFB6C1" w14:textId="77777777" w:rsidR="0032340C" w:rsidRPr="0032340C" w:rsidRDefault="0032340C" w:rsidP="0032340C">
      <w:pPr>
        <w:spacing w:before="200" w:line="240" w:lineRule="auto"/>
        <w:jc w:val="both"/>
        <w:rPr>
          <w:szCs w:val="22"/>
          <w:lang w:val="nl-BE"/>
        </w:rPr>
      </w:pPr>
      <w:bookmarkStart w:id="441" w:name="_Toc3886184"/>
      <w:bookmarkStart w:id="442" w:name="_Toc1985165"/>
      <w:bookmarkStart w:id="443" w:name="_Toc12453056"/>
      <w:r w:rsidRPr="0032340C">
        <w:rPr>
          <w:szCs w:val="22"/>
          <w:lang w:val="nl-BE"/>
        </w:rPr>
        <w:t xml:space="preserve">Deze opdracht kan, behoudens toepassing van één van onderstaande herzieningsclausules, niet gewijzigd worden zonder nieuwe plaatsingsprocedure: </w:t>
      </w:r>
    </w:p>
    <w:p w14:paraId="3442CB27" w14:textId="77777777" w:rsidR="0032340C" w:rsidRPr="0032340C" w:rsidRDefault="0032340C">
      <w:pPr>
        <w:pStyle w:val="Vade-mecumtitre2"/>
      </w:pPr>
      <w:bookmarkStart w:id="444" w:name="_Toc113544462"/>
      <w:bookmarkStart w:id="445" w:name="_Toc114066764"/>
      <w:bookmarkStart w:id="446" w:name="_Toc115882643"/>
      <w:bookmarkStart w:id="447" w:name="_Toc117601122"/>
      <w:r>
        <w:t>A13.1 Vervanging van de opdrachtnemer</w:t>
      </w:r>
      <w:bookmarkEnd w:id="444"/>
      <w:bookmarkEnd w:id="445"/>
      <w:bookmarkEnd w:id="446"/>
      <w:bookmarkEnd w:id="447"/>
    </w:p>
    <w:p w14:paraId="01786420" w14:textId="77777777" w:rsidR="0032340C" w:rsidRPr="0032340C" w:rsidRDefault="0032340C" w:rsidP="0032340C">
      <w:pPr>
        <w:spacing w:before="200" w:line="240" w:lineRule="auto"/>
        <w:jc w:val="both"/>
        <w:rPr>
          <w:szCs w:val="22"/>
          <w:lang w:val="nl-BE"/>
        </w:rPr>
      </w:pPr>
      <w:r w:rsidRPr="0032340C">
        <w:rPr>
          <w:szCs w:val="22"/>
          <w:lang w:val="nl-BE"/>
        </w:rPr>
        <w:t>Een nieuwe opdrachtnemer kan de oorspronkelijke opdrachtnemer, vervangen in andere gevallen dan deze voorzien door art. 38/3 van het AUR, voor zover dat hij voldoet aan de selectiecriteria en de uitsluitingsgronden zoals bepaald in dit bestek.</w:t>
      </w:r>
    </w:p>
    <w:p w14:paraId="02A5C1A6" w14:textId="77777777" w:rsidR="0032340C" w:rsidRPr="0032340C" w:rsidRDefault="0032340C" w:rsidP="0032340C">
      <w:pPr>
        <w:spacing w:before="200" w:line="240" w:lineRule="auto"/>
        <w:jc w:val="both"/>
        <w:rPr>
          <w:szCs w:val="22"/>
          <w:lang w:val="nl-BE"/>
        </w:rPr>
      </w:pPr>
      <w:r w:rsidRPr="0032340C">
        <w:rPr>
          <w:szCs w:val="22"/>
          <w:lang w:val="nl-BE"/>
        </w:rPr>
        <w:t xml:space="preserve">De opdrachtnemer dient zijn vraag zo vlug mogelijk in per aangetekend schrijven, met een verduidelijking van alle redenen voor de vervanging. Hiervoor bezorgt hij een gedetailleerde inventaris met de uitgevoerde diensten, met de gegevens van de nieuwe opdrachtnemer en met de nodige documenten en certificaten waarover de aanbestedende overheid niet gratis kan beschikken. </w:t>
      </w:r>
    </w:p>
    <w:p w14:paraId="658D8256" w14:textId="26505351" w:rsidR="009875B8" w:rsidRDefault="0032340C" w:rsidP="0032340C">
      <w:pPr>
        <w:spacing w:before="200" w:line="240" w:lineRule="auto"/>
        <w:jc w:val="both"/>
        <w:rPr>
          <w:szCs w:val="22"/>
          <w:lang w:val="nl-BE"/>
        </w:rPr>
      </w:pPr>
      <w:r w:rsidRPr="0032340C">
        <w:rPr>
          <w:szCs w:val="22"/>
          <w:lang w:val="nl-BE"/>
        </w:rPr>
        <w:t>Deze vervangingsaanvraag zal door de aanbestedende overheid onderzocht worden en in voorkomend geval het voorwerp uitmaken van een bijakte gedateerd en gehandtekend door de drie partijen. De oorspronkelijke opdrachtnemer blijft verantwoordelijk ten aanzien van de aanbestedende overheid voor de resterende uitvoering van de opdracht.</w:t>
      </w:r>
    </w:p>
    <w:p w14:paraId="381E0680" w14:textId="77777777" w:rsidR="00625BBB" w:rsidRPr="002A436D" w:rsidRDefault="00625BBB">
      <w:pPr>
        <w:pStyle w:val="Vade-mecumtitre2"/>
        <w:rPr>
          <w:lang w:val="nl-NL"/>
        </w:rPr>
      </w:pPr>
      <w:bookmarkStart w:id="448" w:name="_Toc113544463"/>
      <w:bookmarkStart w:id="449" w:name="_Toc114066765"/>
      <w:bookmarkStart w:id="450" w:name="_Toc115882644"/>
      <w:bookmarkStart w:id="451" w:name="_Toc117601123"/>
      <w:r w:rsidRPr="79A775EF">
        <w:rPr>
          <w:lang w:val="nl-NL"/>
        </w:rPr>
        <w:t>A13.2 Heffingen die een weerslag hebben op het opdrachtbedrag</w:t>
      </w:r>
      <w:bookmarkEnd w:id="448"/>
      <w:bookmarkEnd w:id="449"/>
      <w:bookmarkEnd w:id="450"/>
      <w:bookmarkEnd w:id="451"/>
    </w:p>
    <w:p w14:paraId="72EC26E7" w14:textId="71774A7D" w:rsidR="00625BBB" w:rsidRDefault="00625BBB" w:rsidP="00625BBB">
      <w:pPr>
        <w:spacing w:before="200" w:line="240" w:lineRule="auto"/>
        <w:jc w:val="both"/>
        <w:rPr>
          <w:szCs w:val="22"/>
          <w:lang w:val="nl-NL"/>
        </w:rPr>
      </w:pPr>
      <w:r w:rsidRPr="00625BBB">
        <w:rPr>
          <w:szCs w:val="22"/>
          <w:lang w:val="nl-NL"/>
        </w:rPr>
        <w:t xml:space="preserve">De opdrachtnemer kan zich beroepen op wijzigingen van heffingen in België die een weerslag hebben op het opdrachtbedrag, onder de volgende voorwaarden: </w:t>
      </w:r>
    </w:p>
    <w:p w14:paraId="4D912EC6" w14:textId="312C2510" w:rsidR="005B2B1A" w:rsidRPr="005B2B1A" w:rsidRDefault="005B2B1A" w:rsidP="005B2B1A">
      <w:pPr>
        <w:spacing w:before="200" w:line="240" w:lineRule="auto"/>
        <w:jc w:val="both"/>
        <w:rPr>
          <w:szCs w:val="22"/>
          <w:lang w:val="nl-NL"/>
        </w:rPr>
      </w:pPr>
      <w:r w:rsidRPr="005B2B1A">
        <w:rPr>
          <w:szCs w:val="22"/>
          <w:lang w:val="nl-NL"/>
        </w:rPr>
        <w:t>1. de wijziging is in werking getreden na de tiende dag die het uiterste tijdstip voor</w:t>
      </w:r>
      <w:r>
        <w:rPr>
          <w:szCs w:val="22"/>
          <w:lang w:val="nl-NL"/>
        </w:rPr>
        <w:t xml:space="preserve"> </w:t>
      </w:r>
      <w:r w:rsidRPr="005B2B1A">
        <w:rPr>
          <w:szCs w:val="22"/>
          <w:lang w:val="nl-NL"/>
        </w:rPr>
        <w:t>ontvangst van de offertes voorafgaat en</w:t>
      </w:r>
    </w:p>
    <w:p w14:paraId="08719526" w14:textId="362CD830" w:rsidR="005B2B1A" w:rsidRPr="00625BBB" w:rsidRDefault="005B2B1A" w:rsidP="005B2B1A">
      <w:pPr>
        <w:spacing w:before="200" w:line="240" w:lineRule="auto"/>
        <w:jc w:val="both"/>
        <w:rPr>
          <w:szCs w:val="22"/>
          <w:lang w:val="nl-NL"/>
        </w:rPr>
      </w:pPr>
      <w:r w:rsidRPr="005B2B1A">
        <w:rPr>
          <w:szCs w:val="22"/>
          <w:lang w:val="nl-NL"/>
        </w:rPr>
        <w:t>2. deze heffingen niet voorkomen in de herzieningsformule opgenomen in de</w:t>
      </w:r>
      <w:r>
        <w:rPr>
          <w:szCs w:val="22"/>
          <w:lang w:val="nl-NL"/>
        </w:rPr>
        <w:t xml:space="preserve"> </w:t>
      </w:r>
      <w:r w:rsidRPr="005B2B1A">
        <w:rPr>
          <w:szCs w:val="22"/>
          <w:lang w:val="nl-NL"/>
        </w:rPr>
        <w:t>opdrachtdocumenten, noch rechtstreeks noch onrechtstreeks bij wege van een</w:t>
      </w:r>
      <w:r>
        <w:rPr>
          <w:szCs w:val="22"/>
          <w:lang w:val="nl-NL"/>
        </w:rPr>
        <w:t xml:space="preserve"> </w:t>
      </w:r>
      <w:r w:rsidRPr="005B2B1A">
        <w:rPr>
          <w:szCs w:val="22"/>
          <w:lang w:val="nl-NL"/>
        </w:rPr>
        <w:t>index</w:t>
      </w:r>
      <w:r w:rsidR="0091369C">
        <w:rPr>
          <w:szCs w:val="22"/>
          <w:lang w:val="nl-NL"/>
        </w:rPr>
        <w:t>.</w:t>
      </w:r>
    </w:p>
    <w:p w14:paraId="689D53EB" w14:textId="77777777" w:rsidR="00625BBB" w:rsidRPr="00625BBB" w:rsidRDefault="00625BBB" w:rsidP="00625BBB">
      <w:pPr>
        <w:spacing w:before="200" w:line="240" w:lineRule="auto"/>
        <w:jc w:val="both"/>
        <w:rPr>
          <w:szCs w:val="22"/>
          <w:lang w:val="nl-NL"/>
        </w:rPr>
      </w:pPr>
      <w:r w:rsidRPr="00625BBB">
        <w:rPr>
          <w:szCs w:val="22"/>
          <w:lang w:val="nl-NL"/>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76A93CB4" w14:textId="77777777" w:rsidR="00625BBB" w:rsidRPr="00625BBB" w:rsidRDefault="00625BBB" w:rsidP="00625BBB">
      <w:pPr>
        <w:spacing w:before="200" w:line="240" w:lineRule="auto"/>
        <w:jc w:val="both"/>
        <w:rPr>
          <w:szCs w:val="22"/>
          <w:lang w:val="nl-NL"/>
        </w:rPr>
      </w:pPr>
      <w:r w:rsidRPr="00625BBB">
        <w:rPr>
          <w:szCs w:val="22"/>
          <w:lang w:val="nl-NL"/>
        </w:rPr>
        <w:t>De opdrachtnemer moet, op straffe van verval, de becijferde rechtvaardiging van zijn verzoek op schriftelijke wijze overmaken aan de aanbestedende overheid binnen de onderstaande termijnen:</w:t>
      </w:r>
    </w:p>
    <w:p w14:paraId="558AB987" w14:textId="77777777" w:rsidR="00625BBB" w:rsidRPr="00625BBB" w:rsidRDefault="00625BBB" w:rsidP="00625BBB">
      <w:pPr>
        <w:spacing w:before="200" w:line="240" w:lineRule="auto"/>
        <w:jc w:val="both"/>
        <w:rPr>
          <w:szCs w:val="22"/>
          <w:lang w:val="nl-NL"/>
        </w:rPr>
      </w:pPr>
      <w:r w:rsidRPr="00625BBB">
        <w:rPr>
          <w:szCs w:val="22"/>
          <w:lang w:val="nl-NL"/>
        </w:rPr>
        <w:t>1°</w:t>
      </w:r>
      <w:r w:rsidRPr="00625BBB">
        <w:rPr>
          <w:szCs w:val="22"/>
          <w:lang w:val="nl-NL"/>
        </w:rPr>
        <w:tab/>
        <w:t>vóór het verstrijken van de contractuele termijnen om termijnverlenging of de verbreking van de opdracht te verkrijgen;</w:t>
      </w:r>
    </w:p>
    <w:p w14:paraId="45FC5EDD" w14:textId="77777777" w:rsidR="00625BBB" w:rsidRPr="00625BBB" w:rsidRDefault="00625BBB" w:rsidP="00625BBB">
      <w:pPr>
        <w:spacing w:before="200" w:line="240" w:lineRule="auto"/>
        <w:jc w:val="both"/>
        <w:rPr>
          <w:szCs w:val="22"/>
          <w:lang w:val="nl-NL"/>
        </w:rPr>
      </w:pPr>
      <w:r w:rsidRPr="00625BBB">
        <w:rPr>
          <w:szCs w:val="22"/>
          <w:lang w:val="nl-NL"/>
        </w:rPr>
        <w:t>2°</w:t>
      </w:r>
      <w:r w:rsidRPr="00625BBB">
        <w:rPr>
          <w:szCs w:val="22"/>
          <w:lang w:val="nl-NL"/>
        </w:rPr>
        <w:tab/>
        <w:t>uiterlijk negentig dagen volgend op de datum van betekening aan de opdrachtnemer van het proces-verbaal van de voorlopige oplevering van de opdracht om een andere herziening van de opdracht dan die vermeld in 1° of schadevergoeding te verkrijgen;</w:t>
      </w:r>
    </w:p>
    <w:p w14:paraId="7DD0108F" w14:textId="7FBD1AF2" w:rsidR="00625BBB" w:rsidRDefault="00625BBB" w:rsidP="00625BBB">
      <w:pPr>
        <w:spacing w:before="200" w:line="240" w:lineRule="auto"/>
        <w:jc w:val="both"/>
        <w:rPr>
          <w:szCs w:val="22"/>
          <w:lang w:val="nl-NL"/>
        </w:rPr>
      </w:pPr>
      <w:r w:rsidRPr="00625BBB">
        <w:rPr>
          <w:szCs w:val="22"/>
          <w:lang w:val="nl-NL"/>
        </w:rPr>
        <w:t>3°</w:t>
      </w:r>
      <w:r w:rsidRPr="00625BBB">
        <w:rPr>
          <w:szCs w:val="22"/>
          <w:lang w:val="nl-NL"/>
        </w:rPr>
        <w:tab/>
        <w:t xml:space="preserve">uiterlijk negentig dagen na het verstrijken van de waarborgperiode om een andere herziening van de opdracht dan die vermeld in 1° of schadevergoeding te verkrijgen, wanneer </w:t>
      </w:r>
      <w:r w:rsidRPr="00625BBB">
        <w:rPr>
          <w:szCs w:val="22"/>
          <w:lang w:val="nl-NL"/>
        </w:rPr>
        <w:lastRenderedPageBreak/>
        <w:t>dit verzoek tot toepassing van de herzieningsclausule zijn oorsprong vindt in feiten of omstandigheden die zich hebben voorgedaan tijdens de waarborgperiode.</w:t>
      </w:r>
    </w:p>
    <w:p w14:paraId="14BFBD9D" w14:textId="77777777" w:rsidR="00FC07BD" w:rsidRPr="00625BBB" w:rsidRDefault="00FC07BD" w:rsidP="00625BBB">
      <w:pPr>
        <w:spacing w:before="200" w:line="240" w:lineRule="auto"/>
        <w:jc w:val="both"/>
        <w:rPr>
          <w:szCs w:val="22"/>
          <w:lang w:val="nl-NL"/>
        </w:rPr>
      </w:pPr>
    </w:p>
    <w:p w14:paraId="32183AB5" w14:textId="77777777" w:rsidR="00625BBB" w:rsidRPr="002E704D" w:rsidRDefault="00625BBB">
      <w:pPr>
        <w:pStyle w:val="Vade-mecumtitre2"/>
        <w:rPr>
          <w:lang w:val="nl-NL"/>
        </w:rPr>
      </w:pPr>
      <w:bookmarkStart w:id="452" w:name="_Toc113544098"/>
      <w:bookmarkStart w:id="453" w:name="_Toc113544464"/>
      <w:bookmarkStart w:id="454" w:name="_Toc114066766"/>
      <w:bookmarkStart w:id="455" w:name="_Toc115882645"/>
      <w:bookmarkStart w:id="456" w:name="_Toc117601124"/>
      <w:r w:rsidRPr="79A775EF">
        <w:rPr>
          <w:lang w:val="nl-NL"/>
        </w:rPr>
        <w:t>A13.3 Onvoorzienbare omstandigheden in hoofde van de opdrachtnemer en in zijn nadeel</w:t>
      </w:r>
      <w:bookmarkEnd w:id="452"/>
      <w:bookmarkEnd w:id="453"/>
      <w:bookmarkEnd w:id="454"/>
      <w:bookmarkEnd w:id="455"/>
      <w:bookmarkEnd w:id="456"/>
    </w:p>
    <w:p w14:paraId="6690F5DD" w14:textId="77777777" w:rsidR="00625BBB" w:rsidRPr="00625BBB" w:rsidRDefault="00625BBB" w:rsidP="00625BBB">
      <w:pPr>
        <w:spacing w:before="200" w:line="240" w:lineRule="auto"/>
        <w:jc w:val="both"/>
        <w:rPr>
          <w:szCs w:val="22"/>
          <w:lang w:val="nl-NL"/>
        </w:rPr>
      </w:pPr>
      <w:r w:rsidRPr="00625BBB">
        <w:rPr>
          <w:szCs w:val="22"/>
          <w:lang w:val="nl-NL"/>
        </w:rPr>
        <w:t xml:space="preserve">De opdracht kan het voorwerp uitmaken van een wijziging wanneer het contractueel evenwicht van de opdracht wordt ontwricht </w:t>
      </w:r>
      <w:r w:rsidRPr="00B96502">
        <w:rPr>
          <w:b/>
          <w:bCs/>
          <w:szCs w:val="22"/>
          <w:lang w:val="nl-NL"/>
        </w:rPr>
        <w:t>in het nadeel</w:t>
      </w:r>
      <w:r w:rsidRPr="00625BBB">
        <w:rPr>
          <w:szCs w:val="22"/>
          <w:lang w:val="nl-NL"/>
        </w:rPr>
        <w:t xml:space="preserve"> van de opdrachtnemer om welke omstandigheden ook die vreemd zijn aan de aanbestedende overheid.</w:t>
      </w:r>
    </w:p>
    <w:p w14:paraId="6234FD65" w14:textId="77777777" w:rsidR="00625BBB" w:rsidRPr="00625BBB" w:rsidRDefault="00625BBB" w:rsidP="00625BBB">
      <w:pPr>
        <w:spacing w:before="200" w:line="240" w:lineRule="auto"/>
        <w:jc w:val="both"/>
        <w:rPr>
          <w:szCs w:val="22"/>
          <w:lang w:val="nl-NL"/>
        </w:rPr>
      </w:pPr>
      <w:r w:rsidRPr="00625BBB">
        <w:rPr>
          <w:szCs w:val="22"/>
          <w:lang w:val="nl-NL"/>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25E9EAED" w14:textId="77777777" w:rsidR="00625BBB" w:rsidRPr="00625BBB" w:rsidRDefault="00625BBB" w:rsidP="00625BBB">
      <w:pPr>
        <w:spacing w:before="200" w:line="240" w:lineRule="auto"/>
        <w:jc w:val="both"/>
        <w:rPr>
          <w:szCs w:val="22"/>
          <w:lang w:val="nl-NL"/>
        </w:rPr>
      </w:pPr>
      <w:r w:rsidRPr="00625BBB">
        <w:rPr>
          <w:szCs w:val="22"/>
          <w:lang w:val="nl-NL"/>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19E65AC5" w14:textId="77777777" w:rsidR="00625BBB" w:rsidRPr="00625BBB" w:rsidRDefault="00625BBB" w:rsidP="00625BBB">
      <w:pPr>
        <w:spacing w:before="200" w:line="240" w:lineRule="auto"/>
        <w:jc w:val="both"/>
        <w:rPr>
          <w:szCs w:val="22"/>
          <w:lang w:val="nl-NL"/>
        </w:rPr>
      </w:pPr>
      <w:r w:rsidRPr="00625BBB">
        <w:rPr>
          <w:szCs w:val="22"/>
          <w:lang w:val="nl-NL"/>
        </w:rPr>
        <w:t>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aanbestedende overheid ze normaal had moeten kennen.] Hij beschrijft bondig de invloed van de ingeroepen feiten of omstandigheden op het verloop en de kostprijs van de opdracht.</w:t>
      </w:r>
    </w:p>
    <w:p w14:paraId="3534F4C9" w14:textId="77777777" w:rsidR="00625BBB" w:rsidRPr="00625BBB" w:rsidRDefault="00625BBB" w:rsidP="00625BBB">
      <w:pPr>
        <w:spacing w:before="200" w:line="240" w:lineRule="auto"/>
        <w:jc w:val="both"/>
        <w:rPr>
          <w:szCs w:val="22"/>
          <w:lang w:val="nl-NL"/>
        </w:rPr>
      </w:pPr>
      <w:r w:rsidRPr="00625BBB">
        <w:rPr>
          <w:szCs w:val="22"/>
          <w:lang w:val="nl-NL"/>
        </w:rPr>
        <w:t>De opdrachtnemer moet, op straffe van verval, de becijferde rechtvaardiging van zijn verzoek op schriftelijke wijze overmaken aan de aanbestedende overheid binnen de onderstaande termijnen:</w:t>
      </w:r>
    </w:p>
    <w:p w14:paraId="4B9F85DB" w14:textId="77777777" w:rsidR="00625BBB" w:rsidRPr="00625BBB" w:rsidRDefault="00625BBB" w:rsidP="00625BBB">
      <w:pPr>
        <w:spacing w:before="200" w:line="240" w:lineRule="auto"/>
        <w:jc w:val="both"/>
        <w:rPr>
          <w:szCs w:val="22"/>
          <w:lang w:val="nl-NL"/>
        </w:rPr>
      </w:pPr>
      <w:r w:rsidRPr="00625BBB">
        <w:rPr>
          <w:szCs w:val="22"/>
          <w:lang w:val="nl-NL"/>
        </w:rPr>
        <w:t>1°</w:t>
      </w:r>
      <w:r w:rsidRPr="00625BBB">
        <w:rPr>
          <w:szCs w:val="22"/>
          <w:lang w:val="nl-NL"/>
        </w:rPr>
        <w:tab/>
        <w:t>vóór het verstrijken van de contractuele termijnen om termijnverlenging of de verbreking van de opdracht te verkrijgen;</w:t>
      </w:r>
    </w:p>
    <w:p w14:paraId="41DEFD4C" w14:textId="77777777" w:rsidR="00625BBB" w:rsidRPr="00625BBB" w:rsidRDefault="00625BBB" w:rsidP="00625BBB">
      <w:pPr>
        <w:spacing w:before="200" w:line="240" w:lineRule="auto"/>
        <w:jc w:val="both"/>
        <w:rPr>
          <w:szCs w:val="22"/>
          <w:lang w:val="nl-NL"/>
        </w:rPr>
      </w:pPr>
      <w:r w:rsidRPr="00625BBB">
        <w:rPr>
          <w:szCs w:val="22"/>
          <w:lang w:val="nl-NL"/>
        </w:rPr>
        <w:t>2°</w:t>
      </w:r>
      <w:r w:rsidRPr="00625BBB">
        <w:rPr>
          <w:szCs w:val="22"/>
          <w:lang w:val="nl-NL"/>
        </w:rPr>
        <w:tab/>
        <w:t>uiterlijk negentig dagen volgend op de datum van betekening aan de opdrachtnemer van het proces-verbaal van de voorlopige oplevering van de opdracht om een andere herziening van de opdracht dan die vermeld in 1° of schadevergoeding te verkrijgen;</w:t>
      </w:r>
    </w:p>
    <w:p w14:paraId="22A8252D" w14:textId="77777777" w:rsidR="00625BBB" w:rsidRPr="00625BBB" w:rsidRDefault="00625BBB" w:rsidP="00625BBB">
      <w:pPr>
        <w:spacing w:before="200" w:line="240" w:lineRule="auto"/>
        <w:jc w:val="both"/>
        <w:rPr>
          <w:szCs w:val="22"/>
          <w:lang w:val="nl-NL"/>
        </w:rPr>
      </w:pPr>
      <w:r w:rsidRPr="00625BBB">
        <w:rPr>
          <w:szCs w:val="22"/>
          <w:lang w:val="nl-NL"/>
        </w:rPr>
        <w:t>3°</w:t>
      </w:r>
      <w:r w:rsidRPr="00625BBB">
        <w:rPr>
          <w:szCs w:val="22"/>
          <w:lang w:val="nl-NL"/>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27A6FDA6" w14:textId="24CD1F4F" w:rsidR="00625BBB" w:rsidRDefault="00625BBB" w:rsidP="00625BBB">
      <w:pPr>
        <w:spacing w:before="200" w:line="240" w:lineRule="auto"/>
        <w:jc w:val="both"/>
        <w:rPr>
          <w:szCs w:val="22"/>
          <w:lang w:val="nl-NL"/>
        </w:rPr>
      </w:pPr>
      <w:r w:rsidRPr="00625BBB">
        <w:rPr>
          <w:szCs w:val="22"/>
          <w:lang w:val="nl-NL"/>
        </w:rPr>
        <w:t xml:space="preserve">Wanneer de voorwaarden vervuld zijn, kan de opdrachtnemer een verlenging van de uitvoeringstermijn of, wanneer er sprake is van een zeer belangrijk nadeel, de verbreking van de opdracht bekomen. </w:t>
      </w:r>
    </w:p>
    <w:p w14:paraId="6C36E8BF" w14:textId="18919B1E" w:rsidR="000D1340" w:rsidRDefault="000D1340" w:rsidP="00625BBB">
      <w:pPr>
        <w:spacing w:before="200" w:line="240" w:lineRule="auto"/>
        <w:jc w:val="both"/>
        <w:rPr>
          <w:szCs w:val="22"/>
          <w:lang w:val="nl-NL"/>
        </w:rPr>
      </w:pPr>
    </w:p>
    <w:p w14:paraId="24F894EF" w14:textId="77777777" w:rsidR="000D1340" w:rsidRPr="00625BBB" w:rsidRDefault="000D1340" w:rsidP="00625BBB">
      <w:pPr>
        <w:spacing w:before="200" w:line="240" w:lineRule="auto"/>
        <w:jc w:val="both"/>
        <w:rPr>
          <w:szCs w:val="22"/>
          <w:lang w:val="nl-NL"/>
        </w:rPr>
      </w:pPr>
    </w:p>
    <w:p w14:paraId="4C5D9C06" w14:textId="77777777" w:rsidR="00625BBB" w:rsidRPr="002E704D" w:rsidRDefault="00625BBB">
      <w:pPr>
        <w:pStyle w:val="Vade-mecumtitre2"/>
        <w:rPr>
          <w:lang w:val="nl-NL"/>
        </w:rPr>
      </w:pPr>
      <w:bookmarkStart w:id="457" w:name="_Toc113544465"/>
      <w:bookmarkStart w:id="458" w:name="_Toc114066767"/>
      <w:bookmarkStart w:id="459" w:name="_Toc115882646"/>
      <w:bookmarkStart w:id="460" w:name="_Toc117601125"/>
      <w:r w:rsidRPr="79A775EF">
        <w:rPr>
          <w:lang w:val="nl-NL"/>
        </w:rPr>
        <w:lastRenderedPageBreak/>
        <w:t>A13.4 Onvoorzienbare omstandigheden in hoofde van de opdrachtnemer en in zijn voordeel</w:t>
      </w:r>
      <w:bookmarkEnd w:id="457"/>
      <w:bookmarkEnd w:id="458"/>
      <w:bookmarkEnd w:id="459"/>
      <w:bookmarkEnd w:id="460"/>
    </w:p>
    <w:p w14:paraId="3E378066" w14:textId="77777777" w:rsidR="00625BBB" w:rsidRPr="00625BBB" w:rsidRDefault="00625BBB" w:rsidP="00625BBB">
      <w:pPr>
        <w:spacing w:before="200" w:line="240" w:lineRule="auto"/>
        <w:jc w:val="both"/>
        <w:rPr>
          <w:szCs w:val="22"/>
          <w:lang w:val="nl-NL"/>
        </w:rPr>
      </w:pPr>
      <w:r w:rsidRPr="00625BBB">
        <w:rPr>
          <w:szCs w:val="22"/>
          <w:lang w:val="nl-NL"/>
        </w:rPr>
        <w:t xml:space="preserve">De opdracht kan het voorwerp uitmaken van een wijziging wanneer het contractueel evenwicht van de opdracht wordt ontwricht </w:t>
      </w:r>
      <w:r w:rsidRPr="00B96502">
        <w:rPr>
          <w:b/>
          <w:bCs/>
          <w:szCs w:val="22"/>
          <w:lang w:val="nl-NL"/>
        </w:rPr>
        <w:t>in het voordeel</w:t>
      </w:r>
      <w:r w:rsidRPr="00625BBB">
        <w:rPr>
          <w:szCs w:val="22"/>
          <w:lang w:val="nl-NL"/>
        </w:rPr>
        <w:t xml:space="preserve"> van de opdrachtnemer om welke omstandigheden ook die vreemd zijn aan de aanbestedende overheid.</w:t>
      </w:r>
    </w:p>
    <w:p w14:paraId="7245AA4F" w14:textId="77777777" w:rsidR="00625BBB" w:rsidRPr="00625BBB" w:rsidRDefault="00625BBB" w:rsidP="00625BBB">
      <w:pPr>
        <w:spacing w:before="200" w:line="240" w:lineRule="auto"/>
        <w:jc w:val="both"/>
        <w:rPr>
          <w:szCs w:val="22"/>
          <w:lang w:val="nl-NL"/>
        </w:rPr>
      </w:pPr>
      <w:r w:rsidRPr="00625BBB">
        <w:rPr>
          <w:szCs w:val="22"/>
          <w:lang w:val="nl-NL"/>
        </w:rPr>
        <w:t>De aanbestedende overheid die zich op deze herzieningsclausule wil beroepen, moet de ingeroepen feiten of omstandigheden waarop hij zich baseert, schriftelijk kenbaar maken binnen de dertig dagen ofwel nadat ze zich hebben voorgedaan ofwel na de datum waarop de aanbestedende overheid ze normaal had moeten kennen. Hij beschrijft bondig de invloed van de ingeroepen feiten of omstandigheden op het verloop en de kostprijs van de opdracht.</w:t>
      </w:r>
    </w:p>
    <w:p w14:paraId="75A3900F" w14:textId="77777777" w:rsidR="00625BBB" w:rsidRPr="00625BBB" w:rsidRDefault="00625BBB" w:rsidP="00625BBB">
      <w:pPr>
        <w:spacing w:before="200" w:line="240" w:lineRule="auto"/>
        <w:jc w:val="both"/>
        <w:rPr>
          <w:szCs w:val="22"/>
          <w:lang w:val="nl-NL"/>
        </w:rPr>
      </w:pPr>
      <w:r w:rsidRPr="00625BBB">
        <w:rPr>
          <w:szCs w:val="22"/>
          <w:lang w:val="nl-NL"/>
        </w:rPr>
        <w:t xml:space="preserve">De aanbestedende overheid dient ten laatste negentig dagen volgend op de datum van kennisgeving aan de opdrachtnemer van het proces-verbaal van de voorlopige oplevering van de opdracht een beroep te doen op de herzieningsclausule met het oog op herziening van de opdracht. </w:t>
      </w:r>
    </w:p>
    <w:p w14:paraId="1EDA76ED" w14:textId="1EF6EDDF" w:rsidR="00625BBB" w:rsidRDefault="00625BBB" w:rsidP="00625BBB">
      <w:pPr>
        <w:spacing w:before="200" w:line="240" w:lineRule="auto"/>
        <w:jc w:val="both"/>
        <w:rPr>
          <w:szCs w:val="22"/>
          <w:lang w:val="nl-NL"/>
        </w:rPr>
      </w:pPr>
      <w:r w:rsidRPr="00625BBB">
        <w:rPr>
          <w:szCs w:val="22"/>
          <w:lang w:val="nl-NL"/>
        </w:rPr>
        <w:t xml:space="preserve">Wanneer de voorwaarden vervuld zijn, kan de aanbestedende overheid een verkorting van de uitvoeringstermijn of, wanneer er sprake is van een zeer belangrijk voordeel, een andere vorm van herziening van de opdrachtsbepalingen of de verbreking van de opdracht bekomen. </w:t>
      </w:r>
    </w:p>
    <w:p w14:paraId="3E113618" w14:textId="77777777" w:rsidR="00625BBB" w:rsidRPr="002E704D" w:rsidRDefault="00625BBB">
      <w:pPr>
        <w:pStyle w:val="Vade-mecumtitre2"/>
        <w:rPr>
          <w:lang w:val="nl-NL"/>
        </w:rPr>
      </w:pPr>
      <w:bookmarkStart w:id="461" w:name="_Toc113544466"/>
      <w:bookmarkStart w:id="462" w:name="_Toc114066768"/>
      <w:bookmarkStart w:id="463" w:name="_Toc115882647"/>
      <w:bookmarkStart w:id="464" w:name="_Toc117601126"/>
      <w:r w:rsidRPr="79A775EF">
        <w:rPr>
          <w:lang w:val="nl-NL"/>
        </w:rPr>
        <w:t>A13.5 Feiten van de aanbestedende overheid en van de opdrachtnemer</w:t>
      </w:r>
      <w:bookmarkEnd w:id="461"/>
      <w:bookmarkEnd w:id="462"/>
      <w:bookmarkEnd w:id="463"/>
      <w:bookmarkEnd w:id="464"/>
    </w:p>
    <w:p w14:paraId="355501F3" w14:textId="77777777" w:rsidR="00625BBB" w:rsidRPr="00625BBB" w:rsidRDefault="00625BBB" w:rsidP="00625BBB">
      <w:pPr>
        <w:spacing w:before="200" w:line="240" w:lineRule="auto"/>
        <w:jc w:val="both"/>
        <w:rPr>
          <w:szCs w:val="22"/>
          <w:lang w:val="nl-NL"/>
        </w:rPr>
      </w:pPr>
      <w:r w:rsidRPr="00625BBB">
        <w:rPr>
          <w:szCs w:val="22"/>
          <w:lang w:val="nl-NL"/>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kunnen bekomen:</w:t>
      </w:r>
    </w:p>
    <w:p w14:paraId="193888D8" w14:textId="77777777" w:rsidR="00625BBB" w:rsidRPr="00625BBB" w:rsidRDefault="00625BBB" w:rsidP="00625BBB">
      <w:pPr>
        <w:spacing w:before="200" w:line="240" w:lineRule="auto"/>
        <w:jc w:val="both"/>
        <w:rPr>
          <w:szCs w:val="22"/>
          <w:lang w:val="nl-NL"/>
        </w:rPr>
      </w:pPr>
      <w:r w:rsidRPr="00625BBB">
        <w:rPr>
          <w:szCs w:val="22"/>
          <w:lang w:val="nl-NL"/>
        </w:rPr>
        <w:t>1°</w:t>
      </w:r>
      <w:r w:rsidRPr="00625BBB">
        <w:rPr>
          <w:szCs w:val="22"/>
          <w:lang w:val="nl-NL"/>
        </w:rPr>
        <w:tab/>
        <w:t>de aanpassing van de contractuele bepalingen, inclusief de verlenging of de inkorting van de uitvoeringstermijnen;</w:t>
      </w:r>
    </w:p>
    <w:p w14:paraId="28E67779" w14:textId="77777777" w:rsidR="00625BBB" w:rsidRPr="00625BBB" w:rsidRDefault="00625BBB" w:rsidP="00625BBB">
      <w:pPr>
        <w:spacing w:before="200" w:line="240" w:lineRule="auto"/>
        <w:jc w:val="both"/>
        <w:rPr>
          <w:szCs w:val="22"/>
          <w:lang w:val="nl-NL"/>
        </w:rPr>
      </w:pPr>
      <w:r w:rsidRPr="00625BBB">
        <w:rPr>
          <w:szCs w:val="22"/>
          <w:lang w:val="nl-NL"/>
        </w:rPr>
        <w:t>2°</w:t>
      </w:r>
      <w:r w:rsidRPr="00625BBB">
        <w:rPr>
          <w:szCs w:val="22"/>
          <w:lang w:val="nl-NL"/>
        </w:rPr>
        <w:tab/>
        <w:t>een schadevergoeding;</w:t>
      </w:r>
    </w:p>
    <w:p w14:paraId="2C822EDB" w14:textId="7D487ED8" w:rsidR="00625BBB" w:rsidRPr="00625BBB" w:rsidRDefault="00625BBB" w:rsidP="00625BBB">
      <w:pPr>
        <w:spacing w:before="200" w:line="240" w:lineRule="auto"/>
        <w:jc w:val="both"/>
        <w:rPr>
          <w:szCs w:val="22"/>
          <w:lang w:val="nl-NL"/>
        </w:rPr>
      </w:pPr>
      <w:r w:rsidRPr="00625BBB">
        <w:rPr>
          <w:szCs w:val="22"/>
          <w:lang w:val="nl-NL"/>
        </w:rPr>
        <w:t xml:space="preserve">3°  </w:t>
      </w:r>
      <w:r w:rsidR="00FB37B9">
        <w:rPr>
          <w:szCs w:val="22"/>
          <w:lang w:val="nl-NL"/>
        </w:rPr>
        <w:tab/>
      </w:r>
      <w:r w:rsidRPr="00625BBB">
        <w:rPr>
          <w:szCs w:val="22"/>
          <w:lang w:val="nl-NL"/>
        </w:rPr>
        <w:t>een verbreking van de opdracht.</w:t>
      </w:r>
    </w:p>
    <w:p w14:paraId="194C4F7E" w14:textId="77777777" w:rsidR="00625BBB" w:rsidRPr="00625BBB" w:rsidRDefault="00625BBB" w:rsidP="00625BBB">
      <w:pPr>
        <w:spacing w:before="200" w:line="240" w:lineRule="auto"/>
        <w:jc w:val="both"/>
        <w:rPr>
          <w:szCs w:val="22"/>
          <w:lang w:val="nl-NL"/>
        </w:rPr>
      </w:pPr>
      <w:r w:rsidRPr="00625BBB">
        <w:rPr>
          <w:szCs w:val="22"/>
          <w:lang w:val="nl-NL"/>
        </w:rPr>
        <w:t>De aanbestedende overheid of 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aanbestedende overheid ze normaal had moeten kennen. Hij beschrijft bondig de invloed van de ingeroepen feiten of omstandigheden op het verloop en de kostprijs van de opdracht.</w:t>
      </w:r>
    </w:p>
    <w:p w14:paraId="1F9256A3" w14:textId="77777777" w:rsidR="00625BBB" w:rsidRPr="00625BBB" w:rsidRDefault="00625BBB" w:rsidP="00625BBB">
      <w:pPr>
        <w:spacing w:before="200" w:line="240" w:lineRule="auto"/>
        <w:jc w:val="both"/>
        <w:rPr>
          <w:szCs w:val="22"/>
          <w:lang w:val="nl-NL"/>
        </w:rPr>
      </w:pPr>
      <w:r w:rsidRPr="00625BBB">
        <w:rPr>
          <w:szCs w:val="22"/>
          <w:lang w:val="nl-NL"/>
        </w:rPr>
        <w:t>De opdrachtnemer moet, op straffe van verval, de becijferde rechtvaardiging van zijn verzoek op schriftelijke wijze overmaken aan de aanbestedende overheid binnen de onderstaande termijnen:</w:t>
      </w:r>
    </w:p>
    <w:p w14:paraId="4C127817" w14:textId="77777777" w:rsidR="00625BBB" w:rsidRPr="00625BBB" w:rsidRDefault="00625BBB" w:rsidP="00625BBB">
      <w:pPr>
        <w:spacing w:before="200" w:line="240" w:lineRule="auto"/>
        <w:jc w:val="both"/>
        <w:rPr>
          <w:szCs w:val="22"/>
          <w:lang w:val="nl-NL"/>
        </w:rPr>
      </w:pPr>
      <w:r w:rsidRPr="00625BBB">
        <w:rPr>
          <w:szCs w:val="22"/>
          <w:lang w:val="nl-NL"/>
        </w:rPr>
        <w:t>1°</w:t>
      </w:r>
      <w:r w:rsidRPr="00625BBB">
        <w:rPr>
          <w:szCs w:val="22"/>
          <w:lang w:val="nl-NL"/>
        </w:rPr>
        <w:tab/>
        <w:t>vóór het verstrijken van de contractuele termijnen om termijnverlenging of de verbreking van de opdracht te verkrijgen;</w:t>
      </w:r>
    </w:p>
    <w:p w14:paraId="7B95F221" w14:textId="77777777" w:rsidR="00625BBB" w:rsidRPr="00625BBB" w:rsidRDefault="00625BBB" w:rsidP="00625BBB">
      <w:pPr>
        <w:spacing w:before="200" w:line="240" w:lineRule="auto"/>
        <w:jc w:val="both"/>
        <w:rPr>
          <w:szCs w:val="22"/>
          <w:lang w:val="nl-NL"/>
        </w:rPr>
      </w:pPr>
      <w:r w:rsidRPr="00625BBB">
        <w:rPr>
          <w:szCs w:val="22"/>
          <w:lang w:val="nl-NL"/>
        </w:rPr>
        <w:lastRenderedPageBreak/>
        <w:t>2°</w:t>
      </w:r>
      <w:r w:rsidRPr="00625BBB">
        <w:rPr>
          <w:szCs w:val="22"/>
          <w:lang w:val="nl-NL"/>
        </w:rPr>
        <w:tab/>
        <w:t>uiterlijk negentig dagen volgend op de datum van betekening aan de opdrachtnemer van het proces-verbaal van de voorlopige oplevering van de opdracht om een andere herziening van de opdracht dan die vermeld in 1° of schadevergoeding te verkrijgen;</w:t>
      </w:r>
    </w:p>
    <w:p w14:paraId="4276CBC8" w14:textId="77777777" w:rsidR="00625BBB" w:rsidRPr="00625BBB" w:rsidRDefault="00625BBB" w:rsidP="00625BBB">
      <w:pPr>
        <w:spacing w:before="200" w:line="240" w:lineRule="auto"/>
        <w:jc w:val="both"/>
        <w:rPr>
          <w:szCs w:val="22"/>
          <w:lang w:val="nl-NL"/>
        </w:rPr>
      </w:pPr>
      <w:r w:rsidRPr="00625BBB">
        <w:rPr>
          <w:szCs w:val="22"/>
          <w:lang w:val="nl-NL"/>
        </w:rPr>
        <w:t>3°</w:t>
      </w:r>
      <w:r w:rsidRPr="00625BBB">
        <w:rPr>
          <w:szCs w:val="22"/>
          <w:lang w:val="nl-NL"/>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627491CB" w14:textId="77777777" w:rsidR="00625BBB" w:rsidRPr="004936E3" w:rsidRDefault="00625BBB">
      <w:pPr>
        <w:pStyle w:val="Vade-mecumtitre2"/>
        <w:rPr>
          <w:lang w:val="nl-NL"/>
        </w:rPr>
      </w:pPr>
      <w:bookmarkStart w:id="465" w:name="_Toc114066769"/>
      <w:bookmarkStart w:id="466" w:name="_Toc115882648"/>
      <w:bookmarkStart w:id="467" w:name="_Toc117601127"/>
      <w:r w:rsidRPr="79A775EF">
        <w:rPr>
          <w:lang w:val="nl-NL"/>
        </w:rPr>
        <w:t>A13.6 Vergoeding voor schorsingen op bevel van de aanbestedende overheid en incidenten bij de uitvoering</w:t>
      </w:r>
      <w:bookmarkEnd w:id="465"/>
      <w:bookmarkEnd w:id="466"/>
      <w:bookmarkEnd w:id="467"/>
    </w:p>
    <w:p w14:paraId="2D0A064B" w14:textId="05A7DE80" w:rsidR="00625BBB" w:rsidRDefault="00625BBB" w:rsidP="00625BBB">
      <w:pPr>
        <w:spacing w:before="200" w:line="240" w:lineRule="auto"/>
        <w:jc w:val="both"/>
        <w:rPr>
          <w:szCs w:val="22"/>
          <w:lang w:val="nl-NL"/>
        </w:rPr>
      </w:pPr>
      <w:r w:rsidRPr="00625BBB">
        <w:rPr>
          <w:szCs w:val="22"/>
          <w:lang w:val="nl-NL"/>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140F8761" w14:textId="2E534D3D" w:rsidR="006F4893" w:rsidRPr="006F4893" w:rsidRDefault="006F4893" w:rsidP="00625BBB">
      <w:pPr>
        <w:spacing w:before="200" w:line="240" w:lineRule="auto"/>
        <w:jc w:val="both"/>
        <w:rPr>
          <w:szCs w:val="22"/>
          <w:lang w:val="nl-NL"/>
        </w:rPr>
      </w:pPr>
      <w:r w:rsidRPr="0009479B">
        <w:rPr>
          <w:rStyle w:val="normaltextrun"/>
          <w:color w:val="000000"/>
          <w:szCs w:val="22"/>
          <w:shd w:val="clear" w:color="auto" w:fill="FFFFFF"/>
          <w:lang w:val="nl-NL"/>
        </w:rPr>
        <w:t>De opdrachtnemer dient op zijn kosten, alle nodige voorzorgsmaatregelen te treffen ten einde de reeds uitgevoerde prestaties en materialen te vrijwaren tegen mogelijke beschadigingen door ongunstige weersomstandigheden, diefstal of andere daden met kwaadwillig opzet.</w:t>
      </w:r>
    </w:p>
    <w:p w14:paraId="74A03426" w14:textId="77777777" w:rsidR="00625BBB" w:rsidRPr="00625BBB" w:rsidRDefault="00625BBB" w:rsidP="00625BBB">
      <w:pPr>
        <w:spacing w:before="200" w:line="240" w:lineRule="auto"/>
        <w:jc w:val="both"/>
        <w:rPr>
          <w:szCs w:val="22"/>
          <w:lang w:val="nl-NL"/>
        </w:rPr>
      </w:pPr>
      <w:r w:rsidRPr="00625BBB">
        <w:rPr>
          <w:szCs w:val="22"/>
          <w:lang w:val="nl-NL"/>
        </w:rPr>
        <w:t>De opdrachtnemer heeft recht op schadevergoeding voor de schorsingen op bevel van de aanbestedende overheid onder volgende cumulatieve voorwaarden:</w:t>
      </w:r>
    </w:p>
    <w:p w14:paraId="40FD8BE4" w14:textId="77777777" w:rsidR="00625BBB" w:rsidRPr="00625BBB" w:rsidRDefault="00625BBB" w:rsidP="00625BBB">
      <w:pPr>
        <w:spacing w:before="200" w:line="240" w:lineRule="auto"/>
        <w:jc w:val="both"/>
        <w:rPr>
          <w:szCs w:val="22"/>
          <w:lang w:val="nl-NL"/>
        </w:rPr>
      </w:pPr>
      <w:r w:rsidRPr="00625BBB">
        <w:rPr>
          <w:szCs w:val="22"/>
          <w:lang w:val="nl-NL"/>
        </w:rPr>
        <w:t>1°</w:t>
      </w:r>
      <w:r w:rsidRPr="00625BBB">
        <w:rPr>
          <w:szCs w:val="22"/>
          <w:lang w:val="nl-NL"/>
        </w:rPr>
        <w:tab/>
        <w:t>de schorsing overschrijdt in totaal één twintigste van de uitvoeringstermijn en minstens tien werkdagen of vijftien kalenderdagen, naargelang de uitvoeringstermijn uitgedrukt is in werk- of kalenderdagen;</w:t>
      </w:r>
    </w:p>
    <w:p w14:paraId="59EC8DDB" w14:textId="77777777" w:rsidR="00625BBB" w:rsidRPr="00625BBB" w:rsidRDefault="00625BBB" w:rsidP="00625BBB">
      <w:pPr>
        <w:spacing w:before="200" w:line="240" w:lineRule="auto"/>
        <w:jc w:val="both"/>
        <w:rPr>
          <w:szCs w:val="22"/>
          <w:lang w:val="nl-NL"/>
        </w:rPr>
      </w:pPr>
      <w:r w:rsidRPr="00625BBB">
        <w:rPr>
          <w:szCs w:val="22"/>
          <w:lang w:val="nl-NL"/>
        </w:rPr>
        <w:t>2°</w:t>
      </w:r>
      <w:r w:rsidRPr="00625BBB">
        <w:rPr>
          <w:szCs w:val="22"/>
          <w:lang w:val="nl-NL"/>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630AF734" w14:textId="77777777" w:rsidR="00625BBB" w:rsidRPr="00625BBB" w:rsidRDefault="00625BBB" w:rsidP="00625BBB">
      <w:pPr>
        <w:spacing w:before="200" w:line="240" w:lineRule="auto"/>
        <w:jc w:val="both"/>
        <w:rPr>
          <w:szCs w:val="22"/>
          <w:lang w:val="nl-NL"/>
        </w:rPr>
      </w:pPr>
      <w:r w:rsidRPr="00625BBB">
        <w:rPr>
          <w:szCs w:val="22"/>
          <w:lang w:val="nl-NL"/>
        </w:rPr>
        <w:t>3°</w:t>
      </w:r>
      <w:r w:rsidRPr="00625BBB">
        <w:rPr>
          <w:szCs w:val="22"/>
          <w:lang w:val="nl-NL"/>
        </w:rPr>
        <w:tab/>
        <w:t>de schorsing vindt plaats binnen de uitvoeringstermijn van de opdracht.</w:t>
      </w:r>
    </w:p>
    <w:p w14:paraId="36BA6E44" w14:textId="77777777" w:rsidR="00625BBB" w:rsidRPr="00625BBB" w:rsidRDefault="00625BBB" w:rsidP="00625BBB">
      <w:pPr>
        <w:spacing w:before="200" w:line="240" w:lineRule="auto"/>
        <w:jc w:val="both"/>
        <w:rPr>
          <w:szCs w:val="22"/>
          <w:lang w:val="nl-NL"/>
        </w:rPr>
      </w:pPr>
      <w:r w:rsidRPr="00625BBB">
        <w:rPr>
          <w:szCs w:val="22"/>
          <w:lang w:val="nl-NL"/>
        </w:rPr>
        <w:t xml:space="preserve">De opdrachtnemer of de aanbestedende overheid die zich op deze herzieningsclausule wil beroepen, moet de ingeroepen feiten of omstandigheden waarop hij zich baseert, schriftelijk kenbaar maken binnen de dertig dagen ofwel nadat ze zich hebben voorgedaan ofwel na de datum waarop de opdrachtnemer of de aanbestedende overheid ze normaal had moeten kennen. </w:t>
      </w:r>
    </w:p>
    <w:p w14:paraId="29250185" w14:textId="77777777" w:rsidR="00625BBB" w:rsidRPr="00625BBB" w:rsidRDefault="00625BBB" w:rsidP="00625BBB">
      <w:pPr>
        <w:spacing w:before="200" w:line="240" w:lineRule="auto"/>
        <w:jc w:val="both"/>
        <w:rPr>
          <w:szCs w:val="22"/>
          <w:lang w:val="nl-NL"/>
        </w:rPr>
      </w:pPr>
      <w:r w:rsidRPr="00625BBB">
        <w:rPr>
          <w:szCs w:val="22"/>
          <w:lang w:val="nl-NL"/>
        </w:rPr>
        <w:t>De opdrachtnemer moet, op straffe van verval, de becijferde rechtvaardiging van zijn verzoek op schriftelijke wijze overmaken aan de aanbestedende overheid binnen de onderstaande termijnen:</w:t>
      </w:r>
    </w:p>
    <w:p w14:paraId="0BB8047D" w14:textId="77777777" w:rsidR="00625BBB" w:rsidRPr="00625BBB" w:rsidRDefault="00625BBB" w:rsidP="00625BBB">
      <w:pPr>
        <w:spacing w:before="200" w:line="240" w:lineRule="auto"/>
        <w:jc w:val="both"/>
        <w:rPr>
          <w:szCs w:val="22"/>
          <w:lang w:val="nl-NL"/>
        </w:rPr>
      </w:pPr>
      <w:r w:rsidRPr="00625BBB">
        <w:rPr>
          <w:szCs w:val="22"/>
          <w:lang w:val="nl-NL"/>
        </w:rPr>
        <w:t>1°</w:t>
      </w:r>
      <w:r w:rsidRPr="00625BBB">
        <w:rPr>
          <w:szCs w:val="22"/>
          <w:lang w:val="nl-NL"/>
        </w:rPr>
        <w:tab/>
        <w:t>vóór het verstrijken van de contractuele termijnen om termijnverlenging of de verbreking van de opdracht te verkrijgen;</w:t>
      </w:r>
    </w:p>
    <w:p w14:paraId="2D90F997" w14:textId="77777777" w:rsidR="00625BBB" w:rsidRPr="00625BBB" w:rsidRDefault="00625BBB" w:rsidP="00625BBB">
      <w:pPr>
        <w:spacing w:before="200" w:line="240" w:lineRule="auto"/>
        <w:jc w:val="both"/>
        <w:rPr>
          <w:szCs w:val="22"/>
          <w:lang w:val="nl-NL"/>
        </w:rPr>
      </w:pPr>
      <w:r w:rsidRPr="00625BBB">
        <w:rPr>
          <w:szCs w:val="22"/>
          <w:lang w:val="nl-NL"/>
        </w:rPr>
        <w:t>2°</w:t>
      </w:r>
      <w:r w:rsidRPr="00625BBB">
        <w:rPr>
          <w:szCs w:val="22"/>
          <w:lang w:val="nl-NL"/>
        </w:rPr>
        <w:tab/>
        <w:t>uiterlijk negentig dagen volgend op de datum van betekening aan de opdrachtnemer van het proces-verbaal van de voorlopige oplevering van de opdracht om een andere herziening van de opdracht dan die vermeld in 1° of schadevergoeding te verkrijgen;</w:t>
      </w:r>
    </w:p>
    <w:p w14:paraId="30FEFBF0" w14:textId="2DC3E8F4" w:rsidR="00625BBB" w:rsidRPr="009875B8" w:rsidRDefault="00625BBB" w:rsidP="00625BBB">
      <w:pPr>
        <w:spacing w:before="200" w:line="240" w:lineRule="auto"/>
        <w:jc w:val="both"/>
        <w:rPr>
          <w:szCs w:val="22"/>
          <w:lang w:val="nl-NL"/>
        </w:rPr>
      </w:pPr>
      <w:r w:rsidRPr="00625BBB">
        <w:rPr>
          <w:szCs w:val="22"/>
          <w:lang w:val="nl-NL"/>
        </w:rPr>
        <w:lastRenderedPageBreak/>
        <w:t>3°</w:t>
      </w:r>
      <w:r w:rsidRPr="00625BBB">
        <w:rPr>
          <w:szCs w:val="22"/>
          <w:lang w:val="nl-NL"/>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00CE18EA" w14:textId="77777777" w:rsidR="009875B8" w:rsidRPr="009875B8" w:rsidRDefault="009875B8" w:rsidP="0032340C">
      <w:pPr>
        <w:pStyle w:val="Vade-mecumtitre1"/>
        <w:numPr>
          <w:ilvl w:val="0"/>
          <w:numId w:val="0"/>
        </w:numPr>
        <w:ind w:left="432" w:hanging="432"/>
      </w:pPr>
      <w:bookmarkStart w:id="468" w:name="_Toc3886189"/>
      <w:bookmarkStart w:id="469" w:name="_Toc1972049"/>
      <w:bookmarkStart w:id="470" w:name="_Toc12453061"/>
      <w:bookmarkStart w:id="471" w:name="_Toc77719406"/>
      <w:bookmarkStart w:id="472" w:name="_Toc108509954"/>
      <w:bookmarkStart w:id="473" w:name="_Toc117601128"/>
      <w:bookmarkEnd w:id="441"/>
      <w:bookmarkEnd w:id="442"/>
      <w:bookmarkEnd w:id="443"/>
      <w:r w:rsidRPr="009875B8">
        <w:t>A14. Uitvoering van de diensten</w:t>
      </w:r>
      <w:bookmarkEnd w:id="468"/>
      <w:bookmarkEnd w:id="469"/>
      <w:bookmarkEnd w:id="470"/>
      <w:bookmarkEnd w:id="471"/>
      <w:bookmarkEnd w:id="472"/>
      <w:bookmarkEnd w:id="473"/>
    </w:p>
    <w:p w14:paraId="7D9E87F2" w14:textId="77777777" w:rsidR="009875B8" w:rsidRPr="009875B8" w:rsidRDefault="009875B8">
      <w:pPr>
        <w:pStyle w:val="Vade-mecumtitre2"/>
      </w:pPr>
      <w:bookmarkStart w:id="474" w:name="_Toc3886190"/>
      <w:bookmarkStart w:id="475" w:name="_Toc20047990"/>
      <w:bookmarkStart w:id="476" w:name="_Toc232236636"/>
      <w:bookmarkStart w:id="477" w:name="_Toc486513994"/>
      <w:bookmarkStart w:id="478" w:name="_Toc1972050"/>
      <w:bookmarkStart w:id="479" w:name="_Toc12453062"/>
      <w:bookmarkStart w:id="480" w:name="_Toc108509955"/>
      <w:bookmarkStart w:id="481" w:name="_Toc113544468"/>
      <w:bookmarkStart w:id="482" w:name="_Toc114066771"/>
      <w:bookmarkStart w:id="483" w:name="_Toc115882650"/>
      <w:bookmarkStart w:id="484" w:name="_Toc117601129"/>
      <w:r>
        <w:t>A14.1 Termijnen en clausules</w:t>
      </w:r>
      <w:bookmarkEnd w:id="474"/>
      <w:bookmarkEnd w:id="475"/>
      <w:bookmarkEnd w:id="476"/>
      <w:bookmarkEnd w:id="477"/>
      <w:bookmarkEnd w:id="478"/>
      <w:bookmarkEnd w:id="479"/>
      <w:bookmarkEnd w:id="480"/>
      <w:bookmarkEnd w:id="481"/>
      <w:bookmarkEnd w:id="482"/>
      <w:bookmarkEnd w:id="483"/>
      <w:bookmarkEnd w:id="484"/>
    </w:p>
    <w:p w14:paraId="45D23EEF" w14:textId="079FC707" w:rsidR="009875B8" w:rsidRPr="009875B8" w:rsidRDefault="009875B8" w:rsidP="009875B8">
      <w:pPr>
        <w:widowControl w:val="0"/>
        <w:snapToGrid w:val="0"/>
        <w:spacing w:after="120" w:line="240" w:lineRule="auto"/>
        <w:ind w:firstLine="11"/>
        <w:jc w:val="both"/>
        <w:rPr>
          <w:lang w:val="nl-NL"/>
        </w:rPr>
      </w:pPr>
      <w:r w:rsidRPr="79A775EF">
        <w:rPr>
          <w:lang w:val="nl-NL"/>
        </w:rPr>
        <w:t xml:space="preserve">De diensten moeten worden uitgevoerd binnen een termijn van </w:t>
      </w:r>
      <w:r w:rsidR="21BDBD8D" w:rsidRPr="007100CA">
        <w:rPr>
          <w:lang w:val="nl-NL"/>
        </w:rPr>
        <w:t>12</w:t>
      </w:r>
      <w:r w:rsidRPr="007100CA">
        <w:rPr>
          <w:lang w:val="nl-NL"/>
        </w:rPr>
        <w:t xml:space="preserve"> maanden te rekenen vanaf de dag die volgt op deze waarop de opdrachtnemer de kennisgeving van het sluiten van de opdracht heeft ontvangen. Er is geen verlenging van de contractperiode voorzien. De uitvoering van de diensten waarin dit bestek voorziet, moet in alle gevallen binnen de gestelde termijn worden voltooid.</w:t>
      </w:r>
    </w:p>
    <w:p w14:paraId="2DC52B1F" w14:textId="77777777"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De bestelbon wordt per aangetekend schrijven, per fax of op iedere andere manier die onomstotelijk toelaat de datum van versturing te bepalen, naar de opdrachtnemer verstuurd.</w:t>
      </w:r>
    </w:p>
    <w:p w14:paraId="00140501" w14:textId="77777777"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1B10A872" w14:textId="77777777"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691ACFEA" w14:textId="77777777" w:rsidR="009875B8" w:rsidRP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44A73BD1" w14:textId="13AFE6CB" w:rsidR="009875B8" w:rsidRDefault="009875B8" w:rsidP="009875B8">
      <w:pPr>
        <w:widowControl w:val="0"/>
        <w:snapToGrid w:val="0"/>
        <w:spacing w:after="120" w:line="240" w:lineRule="auto"/>
        <w:ind w:firstLine="11"/>
        <w:jc w:val="both"/>
        <w:rPr>
          <w:rFonts w:cstheme="minorHAnsi"/>
          <w:szCs w:val="22"/>
          <w:lang w:val="nl-NL"/>
        </w:rPr>
      </w:pPr>
      <w:r w:rsidRPr="009875B8">
        <w:rPr>
          <w:rFonts w:cstheme="minorHAnsi"/>
          <w:szCs w:val="22"/>
          <w:lang w:val="nl-NL"/>
        </w:rPr>
        <w:t>In ieder geval zijn de betwistingen eigen aan de bestelbon, die niet binnen de 15 kalenderdagen te rekenen vanaf de eerste dag die volgt op de datum van ontvangst van de bestelbon door de opdrachtnemer, niet meer ontvankelijk.</w:t>
      </w:r>
    </w:p>
    <w:p w14:paraId="5E35ADF8" w14:textId="77777777" w:rsidR="009410E6" w:rsidRPr="009875B8" w:rsidRDefault="009410E6" w:rsidP="009875B8">
      <w:pPr>
        <w:widowControl w:val="0"/>
        <w:snapToGrid w:val="0"/>
        <w:spacing w:after="120" w:line="240" w:lineRule="auto"/>
        <w:ind w:firstLine="11"/>
        <w:jc w:val="both"/>
        <w:rPr>
          <w:rFonts w:cstheme="minorHAnsi"/>
          <w:szCs w:val="22"/>
          <w:lang w:val="nl-NL"/>
        </w:rPr>
      </w:pPr>
    </w:p>
    <w:p w14:paraId="5EAEABC6" w14:textId="77777777" w:rsidR="009875B8" w:rsidRPr="002E704D" w:rsidRDefault="009875B8">
      <w:pPr>
        <w:pStyle w:val="Vade-mecumtitre2"/>
        <w:rPr>
          <w:lang w:val="nl-NL"/>
        </w:rPr>
      </w:pPr>
      <w:bookmarkStart w:id="485" w:name="_Toc3886191"/>
      <w:bookmarkStart w:id="486" w:name="_Toc12453063"/>
      <w:bookmarkStart w:id="487" w:name="_Toc108509956"/>
      <w:bookmarkStart w:id="488" w:name="_Toc113544469"/>
      <w:bookmarkStart w:id="489" w:name="_Toc114066772"/>
      <w:bookmarkStart w:id="490" w:name="_Toc115882651"/>
      <w:bookmarkStart w:id="491" w:name="_Toc117601130"/>
      <w:r w:rsidRPr="79A775EF">
        <w:rPr>
          <w:lang w:val="nl-NL"/>
        </w:rPr>
        <w:t>A14.2 Plaats waar de diensten moeten worden uitgevoerd en formaliteiten</w:t>
      </w:r>
      <w:bookmarkEnd w:id="485"/>
      <w:bookmarkEnd w:id="486"/>
      <w:bookmarkEnd w:id="487"/>
      <w:bookmarkEnd w:id="488"/>
      <w:bookmarkEnd w:id="489"/>
      <w:bookmarkEnd w:id="490"/>
      <w:bookmarkEnd w:id="491"/>
    </w:p>
    <w:p w14:paraId="6E00A584" w14:textId="77777777" w:rsidR="009875B8" w:rsidRPr="002E704D" w:rsidRDefault="009875B8">
      <w:pPr>
        <w:pStyle w:val="Vade-mecumtitre3"/>
        <w:rPr>
          <w:lang w:val="nl-NL"/>
        </w:rPr>
      </w:pPr>
      <w:bookmarkStart w:id="492" w:name="_Toc347134772"/>
      <w:bookmarkStart w:id="493" w:name="_Toc486524247"/>
      <w:bookmarkStart w:id="494" w:name="_Toc108509957"/>
      <w:bookmarkStart w:id="495" w:name="_Toc113544470"/>
      <w:bookmarkStart w:id="496" w:name="_Toc114066773"/>
      <w:bookmarkStart w:id="497" w:name="_Toc115882652"/>
      <w:bookmarkStart w:id="498" w:name="_Toc117601131"/>
      <w:r w:rsidRPr="002E704D">
        <w:rPr>
          <w:lang w:val="nl-NL"/>
        </w:rPr>
        <w:t>A14.2.1 Plaats waar de diensten moeten worden uitgevoerd</w:t>
      </w:r>
      <w:bookmarkEnd w:id="492"/>
      <w:bookmarkEnd w:id="493"/>
      <w:bookmarkEnd w:id="494"/>
      <w:bookmarkEnd w:id="495"/>
      <w:bookmarkEnd w:id="496"/>
      <w:bookmarkEnd w:id="497"/>
      <w:bookmarkEnd w:id="498"/>
      <w:r w:rsidRPr="002E704D">
        <w:rPr>
          <w:lang w:val="nl-NL"/>
        </w:rPr>
        <w:t xml:space="preserve"> </w:t>
      </w:r>
    </w:p>
    <w:p w14:paraId="29DAA9F2" w14:textId="77777777" w:rsidR="009875B8" w:rsidRPr="007100CA" w:rsidRDefault="009875B8" w:rsidP="009875B8">
      <w:pPr>
        <w:snapToGrid w:val="0"/>
        <w:spacing w:after="120" w:line="240" w:lineRule="auto"/>
        <w:ind w:firstLine="11"/>
        <w:jc w:val="both"/>
        <w:rPr>
          <w:rFonts w:cstheme="minorHAnsi"/>
          <w:szCs w:val="22"/>
          <w:lang w:val="nl-NL"/>
        </w:rPr>
      </w:pPr>
      <w:r w:rsidRPr="007100CA">
        <w:rPr>
          <w:rFonts w:cstheme="minorHAnsi"/>
          <w:szCs w:val="22"/>
          <w:lang w:val="nl-NL"/>
        </w:rPr>
        <w:t>De diensten zullen worden uitgevoerd :</w:t>
      </w:r>
    </w:p>
    <w:p w14:paraId="44B67F75" w14:textId="77777777" w:rsidR="009875B8" w:rsidRPr="007100CA"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7100CA">
        <w:rPr>
          <w:rFonts w:cstheme="minorHAnsi"/>
          <w:szCs w:val="22"/>
          <w:lang w:val="nl-NL"/>
        </w:rPr>
        <w:t>op het adres van de dienstverlener;</w:t>
      </w:r>
    </w:p>
    <w:p w14:paraId="28447D7A" w14:textId="77777777" w:rsidR="009875B8" w:rsidRPr="007100CA"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nl-NL"/>
        </w:rPr>
      </w:pPr>
      <w:r w:rsidRPr="007100CA">
        <w:rPr>
          <w:rFonts w:cstheme="minorHAnsi"/>
          <w:szCs w:val="22"/>
          <w:lang w:val="nl-NL"/>
        </w:rPr>
        <w:t>op de zetel van de aanbestedende dienst in Brussel, België;</w:t>
      </w:r>
    </w:p>
    <w:p w14:paraId="5206449B" w14:textId="7714ED78" w:rsidR="00DD3E59" w:rsidRPr="007100CA" w:rsidRDefault="009875B8">
      <w:pPr>
        <w:numPr>
          <w:ilvl w:val="0"/>
          <w:numId w:val="6"/>
        </w:numPr>
        <w:pBdr>
          <w:top w:val="nil"/>
          <w:left w:val="nil"/>
          <w:bottom w:val="nil"/>
          <w:right w:val="nil"/>
          <w:between w:val="nil"/>
          <w:bar w:val="nil"/>
        </w:pBdr>
        <w:tabs>
          <w:tab w:val="left" w:pos="5340"/>
        </w:tabs>
        <w:snapToGrid w:val="0"/>
        <w:spacing w:after="120" w:line="240" w:lineRule="auto"/>
        <w:ind w:left="357" w:hanging="357"/>
        <w:contextualSpacing/>
        <w:jc w:val="both"/>
        <w:rPr>
          <w:lang w:val="nl-NL"/>
        </w:rPr>
      </w:pPr>
      <w:r w:rsidRPr="007100CA">
        <w:rPr>
          <w:lang w:val="nl-NL"/>
        </w:rPr>
        <w:t>bij de verschillende personen en instellingen die in de referentietermen vermeld worden</w:t>
      </w:r>
      <w:r w:rsidR="00DD3E59" w:rsidRPr="007100CA">
        <w:rPr>
          <w:lang w:val="nl-NL"/>
        </w:rPr>
        <w:t>;</w:t>
      </w:r>
    </w:p>
    <w:p w14:paraId="7CBE1A95" w14:textId="0EFEE3E0" w:rsidR="00DD3E59" w:rsidRPr="007100CA" w:rsidRDefault="00DD3E59">
      <w:pPr>
        <w:pStyle w:val="ListParagraph"/>
        <w:numPr>
          <w:ilvl w:val="0"/>
          <w:numId w:val="6"/>
        </w:numPr>
        <w:pBdr>
          <w:top w:val="nil"/>
          <w:left w:val="nil"/>
          <w:bottom w:val="nil"/>
          <w:right w:val="nil"/>
          <w:between w:val="nil"/>
          <w:bar w:val="nil"/>
        </w:pBdr>
        <w:tabs>
          <w:tab w:val="left" w:pos="5340"/>
        </w:tabs>
        <w:snapToGrid w:val="0"/>
        <w:spacing w:after="120" w:line="240" w:lineRule="auto"/>
        <w:jc w:val="both"/>
        <w:rPr>
          <w:lang w:val="nl-NL"/>
        </w:rPr>
      </w:pPr>
      <w:r w:rsidRPr="007100CA">
        <w:rPr>
          <w:lang w:val="nl-NL"/>
        </w:rPr>
        <w:lastRenderedPageBreak/>
        <w:t xml:space="preserve">in de landen die in het kader van de evaluatie worden geselecteerd. </w:t>
      </w:r>
    </w:p>
    <w:p w14:paraId="03D9C874" w14:textId="77777777" w:rsidR="009875B8" w:rsidRPr="002E704D" w:rsidRDefault="009875B8">
      <w:pPr>
        <w:pStyle w:val="Vade-mecumtitre3"/>
        <w:rPr>
          <w:lang w:val="nl-NL"/>
        </w:rPr>
      </w:pPr>
      <w:bookmarkStart w:id="499" w:name="_Toc108509958"/>
      <w:bookmarkStart w:id="500" w:name="_Toc113544471"/>
      <w:bookmarkStart w:id="501" w:name="_Toc114066774"/>
      <w:bookmarkStart w:id="502" w:name="_Toc115882653"/>
      <w:bookmarkStart w:id="503" w:name="_Toc117601132"/>
      <w:bookmarkStart w:id="504" w:name="_Toc232236641"/>
      <w:bookmarkStart w:id="505" w:name="_Toc20047993"/>
      <w:bookmarkStart w:id="506" w:name="_Toc347134773"/>
      <w:bookmarkStart w:id="507" w:name="_Toc486524248"/>
      <w:r w:rsidRPr="002E704D">
        <w:rPr>
          <w:lang w:val="nl-NL"/>
        </w:rPr>
        <w:t>A14.2.2 Nazicht en oplevering van de uitgevoerde diensten</w:t>
      </w:r>
      <w:bookmarkEnd w:id="499"/>
      <w:bookmarkEnd w:id="500"/>
      <w:bookmarkEnd w:id="501"/>
      <w:bookmarkEnd w:id="502"/>
      <w:bookmarkEnd w:id="503"/>
    </w:p>
    <w:bookmarkEnd w:id="504"/>
    <w:bookmarkEnd w:id="505"/>
    <w:bookmarkEnd w:id="506"/>
    <w:bookmarkEnd w:id="507"/>
    <w:p w14:paraId="54EBB107" w14:textId="77777777" w:rsidR="009875B8" w:rsidRPr="009875B8" w:rsidRDefault="009875B8" w:rsidP="009875B8">
      <w:pPr>
        <w:tabs>
          <w:tab w:val="center" w:pos="4513"/>
          <w:tab w:val="right" w:pos="9026"/>
        </w:tabs>
        <w:spacing w:after="0" w:line="240" w:lineRule="auto"/>
        <w:ind w:firstLine="11"/>
        <w:jc w:val="both"/>
        <w:rPr>
          <w:szCs w:val="22"/>
          <w:lang w:val="nl-NL"/>
        </w:rPr>
      </w:pPr>
      <w:r w:rsidRPr="009875B8">
        <w:rPr>
          <w:szCs w:val="22"/>
          <w:lang w:val="nl-NL"/>
        </w:rPr>
        <w:t>Indien tijdens de uitvoering van de diensten abnormaliteiten worden vastgesteld, zal dit onmiddellijk aan de opdrachtnemer worden gemeld door middel van een e-mailbericht, dat nadien zal worden bevestigd door middel van een aangetekende zending. De opdrachtnemer is verplicht om niet conform uitgevoerde diensten te herbeginnen.</w:t>
      </w:r>
    </w:p>
    <w:p w14:paraId="70F33DCB" w14:textId="77777777" w:rsidR="009875B8" w:rsidRPr="009875B8" w:rsidRDefault="009875B8" w:rsidP="009875B8">
      <w:pPr>
        <w:tabs>
          <w:tab w:val="center" w:pos="4513"/>
          <w:tab w:val="right" w:pos="9026"/>
        </w:tabs>
        <w:spacing w:after="0" w:line="240" w:lineRule="auto"/>
        <w:ind w:firstLine="11"/>
        <w:jc w:val="both"/>
        <w:rPr>
          <w:szCs w:val="22"/>
          <w:lang w:val="nl-NL"/>
        </w:rPr>
      </w:pPr>
    </w:p>
    <w:p w14:paraId="3E96964C" w14:textId="77777777" w:rsidR="009875B8" w:rsidRPr="009875B8" w:rsidRDefault="009875B8" w:rsidP="009875B8">
      <w:pPr>
        <w:tabs>
          <w:tab w:val="center" w:pos="4513"/>
          <w:tab w:val="right" w:pos="9026"/>
        </w:tabs>
        <w:spacing w:after="0" w:line="240" w:lineRule="auto"/>
        <w:ind w:firstLine="11"/>
        <w:jc w:val="both"/>
        <w:rPr>
          <w:szCs w:val="22"/>
          <w:lang w:val="nl-NL"/>
        </w:rPr>
      </w:pPr>
      <w:r w:rsidRPr="009875B8">
        <w:rPr>
          <w:szCs w:val="22"/>
          <w:lang w:val="nl-NL"/>
        </w:rPr>
        <w:t xml:space="preserve">De aanbestedende overheid beschikt over een verificatietermijn van dertig dagen vanaf de datum van de volledige of gedeeltelijke beëindiging van de diensten, vastgesteld overeenkomstig de regels van de opdrachtdocumenten, om de formaliteiten betreffende de oplevering te vervullen en aan de opdrachtnemer kennis te geven van het resultaat daarvan. </w:t>
      </w:r>
    </w:p>
    <w:p w14:paraId="3210BDB3" w14:textId="77777777" w:rsidR="009875B8" w:rsidRPr="009875B8" w:rsidRDefault="009875B8" w:rsidP="009875B8">
      <w:pPr>
        <w:tabs>
          <w:tab w:val="center" w:pos="4513"/>
          <w:tab w:val="right" w:pos="9026"/>
        </w:tabs>
        <w:spacing w:after="0" w:line="240" w:lineRule="auto"/>
        <w:ind w:firstLine="11"/>
        <w:jc w:val="both"/>
        <w:rPr>
          <w:szCs w:val="22"/>
          <w:lang w:val="nl-NL"/>
        </w:rPr>
      </w:pPr>
      <w:r w:rsidRPr="009875B8">
        <w:rPr>
          <w:szCs w:val="22"/>
          <w:lang w:val="nl-NL"/>
        </w:rPr>
        <w:t xml:space="preserve">Deze termijn gaat in voor zover de aanbestedende overheid tegelijk in het bezit van de lijst van gepresteerde diensten of factuur wordt gesteld. </w:t>
      </w:r>
    </w:p>
    <w:p w14:paraId="474A3892" w14:textId="77777777" w:rsidR="009875B8" w:rsidRPr="009875B8" w:rsidRDefault="009875B8" w:rsidP="009875B8">
      <w:pPr>
        <w:tabs>
          <w:tab w:val="center" w:pos="4513"/>
          <w:tab w:val="right" w:pos="9026"/>
        </w:tabs>
        <w:spacing w:after="0" w:line="240" w:lineRule="auto"/>
        <w:ind w:firstLine="11"/>
        <w:jc w:val="both"/>
        <w:rPr>
          <w:szCs w:val="22"/>
          <w:lang w:val="nl-NL"/>
        </w:rPr>
      </w:pPr>
    </w:p>
    <w:p w14:paraId="056909E4" w14:textId="77777777" w:rsidR="009875B8" w:rsidRPr="009875B8" w:rsidRDefault="009875B8" w:rsidP="009875B8">
      <w:pPr>
        <w:tabs>
          <w:tab w:val="center" w:pos="4513"/>
          <w:tab w:val="right" w:pos="9026"/>
        </w:tabs>
        <w:spacing w:after="0" w:line="240" w:lineRule="auto"/>
        <w:ind w:firstLine="11"/>
        <w:jc w:val="both"/>
        <w:rPr>
          <w:szCs w:val="22"/>
          <w:lang w:val="nl-NL"/>
        </w:rPr>
      </w:pPr>
      <w:r w:rsidRPr="009875B8">
        <w:rPr>
          <w:szCs w:val="22"/>
          <w:lang w:val="nl-NL"/>
        </w:rPr>
        <w:t>Wanneer de diensten beëindigd worden vóór of na deze datum, stelt de opdrachtnemer de leidende ambtenaar hiervan per aangetekende zending in kennis en vraagt hem tot de oplevering over te gaan. In dat geval begint de verificatietermijn van dertig dagen te lopen vanaf de datum van ontvangst van het verzoek van de opdrachtnemer.</w:t>
      </w:r>
    </w:p>
    <w:p w14:paraId="29AD22EE" w14:textId="77777777" w:rsidR="009875B8" w:rsidRPr="009875B8" w:rsidRDefault="009875B8" w:rsidP="009875B8">
      <w:pPr>
        <w:tabs>
          <w:tab w:val="center" w:pos="4513"/>
          <w:tab w:val="right" w:pos="9026"/>
        </w:tabs>
        <w:spacing w:after="0" w:line="240" w:lineRule="auto"/>
        <w:ind w:firstLine="11"/>
        <w:jc w:val="both"/>
        <w:rPr>
          <w:szCs w:val="22"/>
          <w:lang w:val="nl-NL"/>
        </w:rPr>
      </w:pPr>
    </w:p>
    <w:p w14:paraId="7221D9A7" w14:textId="77777777" w:rsidR="009875B8" w:rsidRPr="009875B8" w:rsidRDefault="009875B8" w:rsidP="009875B8">
      <w:pPr>
        <w:tabs>
          <w:tab w:val="center" w:pos="4513"/>
          <w:tab w:val="right" w:pos="9026"/>
        </w:tabs>
        <w:spacing w:after="0" w:line="240" w:lineRule="auto"/>
        <w:ind w:firstLine="11"/>
        <w:jc w:val="both"/>
        <w:rPr>
          <w:szCs w:val="22"/>
          <w:lang w:val="nl-NL"/>
        </w:rPr>
      </w:pPr>
      <w:r w:rsidRPr="009875B8">
        <w:rPr>
          <w:szCs w:val="22"/>
          <w:lang w:val="nl-NL"/>
        </w:rPr>
        <w:t>De hier bedoelde oplevering is definitief.</w:t>
      </w:r>
    </w:p>
    <w:p w14:paraId="17A7C9AA" w14:textId="77777777" w:rsidR="009875B8" w:rsidRPr="009875B8" w:rsidRDefault="009875B8" w:rsidP="009875B8">
      <w:pPr>
        <w:tabs>
          <w:tab w:val="center" w:pos="4513"/>
          <w:tab w:val="right" w:pos="9026"/>
        </w:tabs>
        <w:spacing w:after="0" w:line="240" w:lineRule="auto"/>
        <w:ind w:firstLine="11"/>
        <w:jc w:val="both"/>
        <w:rPr>
          <w:szCs w:val="22"/>
          <w:lang w:val="nl-NL"/>
        </w:rPr>
      </w:pPr>
    </w:p>
    <w:p w14:paraId="0F7E4E89" w14:textId="04CD27D5" w:rsidR="009875B8" w:rsidRPr="009875B8" w:rsidRDefault="005E283F" w:rsidP="005E283F">
      <w:pPr>
        <w:pStyle w:val="Vade-mecumtitre1"/>
        <w:numPr>
          <w:ilvl w:val="0"/>
          <w:numId w:val="0"/>
        </w:numPr>
        <w:ind w:left="432" w:hanging="432"/>
      </w:pPr>
      <w:bookmarkStart w:id="508" w:name="_Toc3886192"/>
      <w:bookmarkStart w:id="509" w:name="_Toc486524234"/>
      <w:bookmarkStart w:id="510" w:name="_Toc279057"/>
      <w:bookmarkStart w:id="511" w:name="_Toc12453064"/>
      <w:bookmarkStart w:id="512" w:name="_Toc77719407"/>
      <w:bookmarkStart w:id="513" w:name="_Toc108509959"/>
      <w:bookmarkStart w:id="514" w:name="_Toc117601133"/>
      <w:bookmarkStart w:id="515" w:name="_Toc14172433"/>
      <w:bookmarkStart w:id="516" w:name="_Toc20047986"/>
      <w:bookmarkStart w:id="517" w:name="_Toc232236632"/>
      <w:bookmarkStart w:id="518" w:name="_Toc486593846"/>
      <w:bookmarkStart w:id="519" w:name="_Toc529699997"/>
      <w:bookmarkStart w:id="520" w:name="_Toc529700613"/>
      <w:bookmarkStart w:id="521" w:name="_Toc529747469"/>
      <w:bookmarkStart w:id="522" w:name="_Toc230713"/>
      <w:bookmarkStart w:id="523" w:name="_Toc230767"/>
      <w:bookmarkStart w:id="524" w:name="_Toc12079562"/>
      <w:bookmarkStart w:id="525" w:name="_Toc12862758"/>
      <w:bookmarkStart w:id="526" w:name="_Toc19591217"/>
      <w:bookmarkStart w:id="527" w:name="_Toc486514005"/>
      <w:bookmarkStart w:id="528" w:name="_Toc1985176"/>
      <w:r>
        <w:t>A</w:t>
      </w:r>
      <w:r w:rsidR="009875B8" w:rsidRPr="009875B8">
        <w:t xml:space="preserve">15. </w:t>
      </w:r>
      <w:bookmarkEnd w:id="508"/>
      <w:bookmarkEnd w:id="509"/>
      <w:bookmarkEnd w:id="510"/>
      <w:bookmarkEnd w:id="511"/>
      <w:r w:rsidR="009875B8" w:rsidRPr="009875B8">
        <w:t>Opvolging en begeleiding</w:t>
      </w:r>
      <w:bookmarkEnd w:id="512"/>
      <w:bookmarkEnd w:id="513"/>
      <w:bookmarkEnd w:id="514"/>
    </w:p>
    <w:p w14:paraId="2A9E3BD7" w14:textId="77777777" w:rsidR="005E283F" w:rsidRPr="009A2B89" w:rsidRDefault="005E283F">
      <w:pPr>
        <w:pStyle w:val="Vade-mecumtitre2"/>
        <w:rPr>
          <w:lang w:val="nl-BE"/>
        </w:rPr>
      </w:pPr>
      <w:bookmarkStart w:id="529" w:name="_Toc113544473"/>
      <w:bookmarkStart w:id="530" w:name="_Toc114066776"/>
      <w:bookmarkStart w:id="531" w:name="_Toc115882655"/>
      <w:bookmarkStart w:id="532" w:name="_Toc117601134"/>
      <w:bookmarkStart w:id="533" w:name="_Toc3886195"/>
      <w:bookmarkStart w:id="534" w:name="_Toc12453067"/>
      <w:bookmarkStart w:id="535" w:name="_Toc77719408"/>
      <w:bookmarkStart w:id="536" w:name="_Toc108509960"/>
      <w:bookmarkStart w:id="537" w:name="_Hlk5709608"/>
      <w:bookmarkEnd w:id="515"/>
      <w:bookmarkEnd w:id="516"/>
      <w:bookmarkEnd w:id="517"/>
      <w:bookmarkEnd w:id="518"/>
      <w:r w:rsidRPr="007100CA">
        <w:t xml:space="preserve">A15.1  </w:t>
      </w:r>
      <w:r w:rsidRPr="009A2B89">
        <w:rPr>
          <w:lang w:val="nl-BE"/>
        </w:rPr>
        <w:t>Begeleidingscomité</w:t>
      </w:r>
      <w:bookmarkEnd w:id="529"/>
      <w:bookmarkEnd w:id="530"/>
      <w:bookmarkEnd w:id="531"/>
      <w:bookmarkEnd w:id="532"/>
    </w:p>
    <w:p w14:paraId="136A5F3B" w14:textId="6AFE43F2" w:rsidR="005E283F" w:rsidRPr="009A2B89" w:rsidRDefault="005E283F" w:rsidP="00885699">
      <w:pPr>
        <w:spacing w:line="240" w:lineRule="auto"/>
        <w:jc w:val="both"/>
        <w:rPr>
          <w:lang w:val="nl-BE"/>
        </w:rPr>
      </w:pPr>
      <w:bookmarkStart w:id="538" w:name="_Toc113544108"/>
      <w:r w:rsidRPr="009A2B89">
        <w:rPr>
          <w:lang w:val="nl-BE"/>
        </w:rPr>
        <w:t>De diensten zullen tijdens hun uitvoering nauwlettend worden gevolgd door een begeleidingscomité, waarvan de samenstelling wordt vermeld in punt B</w:t>
      </w:r>
      <w:r w:rsidR="5CB7C6B2" w:rsidRPr="009A2B89">
        <w:rPr>
          <w:lang w:val="nl-BE"/>
        </w:rPr>
        <w:t>9</w:t>
      </w:r>
      <w:r w:rsidRPr="009A2B89">
        <w:rPr>
          <w:lang w:val="nl-BE"/>
        </w:rPr>
        <w:t xml:space="preserve"> van deel B van dit bestek. Het begeleidingscomité komt bijeen op het hoofdkantoor van de aanbestedende dienst, in aanwezigheid van de dienstverlener. Als aanbestedende dienst zal de Dienst Bijzondere Evaluatie (</w:t>
      </w:r>
      <w:r w:rsidR="009110B1" w:rsidRPr="009A2B89">
        <w:rPr>
          <w:lang w:val="nl-BE"/>
        </w:rPr>
        <w:t>S2</w:t>
      </w:r>
      <w:r w:rsidRPr="009A2B89">
        <w:rPr>
          <w:lang w:val="nl-BE"/>
        </w:rPr>
        <w:t>) van de FOD Buitenlandse Zaken, Buitenlandse Handel en Ontwikkelingssamenwerking verantwoordelijk zijn voor de oplevering van de diensten.</w:t>
      </w:r>
      <w:bookmarkEnd w:id="538"/>
    </w:p>
    <w:p w14:paraId="72D40FC8" w14:textId="77777777" w:rsidR="005E283F" w:rsidRPr="009A2B89" w:rsidRDefault="005E283F" w:rsidP="00885699">
      <w:pPr>
        <w:spacing w:line="240" w:lineRule="auto"/>
        <w:jc w:val="both"/>
        <w:rPr>
          <w:lang w:val="nl-BE"/>
        </w:rPr>
      </w:pPr>
      <w:bookmarkStart w:id="539" w:name="_Toc113544109"/>
      <w:r w:rsidRPr="009A2B89">
        <w:rPr>
          <w:lang w:val="nl-BE"/>
        </w:rPr>
        <w:t>Een afgevaardigde van de aanbestedende dienst wordt aan het begin van de uitvoering van de diensten aangesteld om het contact met de dienstverlener te faciliteren. De identiteit van deze afgevaardigde zal aan de opdrachtnemer worden medegedeeld op het ogenblik dat met de uitvoering van de diensten zal worden gestart.</w:t>
      </w:r>
      <w:bookmarkEnd w:id="539"/>
      <w:r w:rsidRPr="009A2B89">
        <w:rPr>
          <w:lang w:val="nl-BE"/>
        </w:rPr>
        <w:t xml:space="preserve"> </w:t>
      </w:r>
    </w:p>
    <w:p w14:paraId="4C6E5215" w14:textId="77777777" w:rsidR="005E283F" w:rsidRPr="009A2B89" w:rsidRDefault="005E283F">
      <w:pPr>
        <w:pStyle w:val="Vade-mecumtitre2"/>
        <w:rPr>
          <w:lang w:val="nl-BE"/>
        </w:rPr>
      </w:pPr>
      <w:bookmarkStart w:id="540" w:name="_Toc113544474"/>
      <w:bookmarkStart w:id="541" w:name="_Toc114066777"/>
      <w:bookmarkStart w:id="542" w:name="_Toc115882656"/>
      <w:bookmarkStart w:id="543" w:name="_Toc117601135"/>
      <w:r w:rsidRPr="009A2B89">
        <w:rPr>
          <w:lang w:val="nl-BE"/>
        </w:rPr>
        <w:t>A15.2 Ondersteuningskosten</w:t>
      </w:r>
      <w:bookmarkEnd w:id="540"/>
      <w:bookmarkEnd w:id="541"/>
      <w:bookmarkEnd w:id="542"/>
      <w:bookmarkEnd w:id="543"/>
    </w:p>
    <w:p w14:paraId="4EA7DB09" w14:textId="7F4C97FB" w:rsidR="005E283F" w:rsidRDefault="005E283F" w:rsidP="00885699">
      <w:pPr>
        <w:spacing w:line="240" w:lineRule="auto"/>
        <w:jc w:val="both"/>
        <w:rPr>
          <w:rStyle w:val="eop"/>
          <w:rFonts w:ascii="Verdana" w:hAnsi="Verdana"/>
          <w:color w:val="000000"/>
          <w:sz w:val="20"/>
          <w:szCs w:val="20"/>
          <w:shd w:val="clear" w:color="auto" w:fill="FFFFFF"/>
          <w:lang w:val="nl-NL"/>
        </w:rPr>
      </w:pPr>
      <w:bookmarkStart w:id="544" w:name="_Toc113544111"/>
      <w:r w:rsidRPr="007100CA">
        <w:rPr>
          <w:lang w:val="nl-NL"/>
        </w:rPr>
        <w:t xml:space="preserve">Terreinzendingen kunnen ook worden begeleid en opgevolgd door een afgevaardigde van de aanbestedende dienst. De identiteit van deze afgevaardigde zal te zijner tijd aan de dienstverlener worden meegedeeld. </w:t>
      </w:r>
      <w:bookmarkEnd w:id="544"/>
      <w:r w:rsidR="00875833" w:rsidRPr="007100CA">
        <w:rPr>
          <w:lang w:val="nl-NL"/>
        </w:rPr>
        <w:t xml:space="preserve">De dienstverlener moet zorgen voor het vervoer en de verplaatsingen ter plaatse voor deze afgevaardigde (en zijn bagage). </w:t>
      </w:r>
      <w:r w:rsidR="005D05BF" w:rsidRPr="007100CA">
        <w:rPr>
          <w:rStyle w:val="normaltextrun"/>
          <w:color w:val="000000"/>
          <w:szCs w:val="22"/>
          <w:shd w:val="clear" w:color="auto" w:fill="FFFFFF"/>
          <w:lang w:val="nl-NL"/>
        </w:rPr>
        <w:t xml:space="preserve">De reis- en verblijfkosten van de afgevaardigde van de aanbestedende dienst zijn </w:t>
      </w:r>
      <w:r w:rsidR="009B7EF6" w:rsidRPr="007100CA">
        <w:rPr>
          <w:rStyle w:val="normaltextrun"/>
          <w:color w:val="000000"/>
          <w:szCs w:val="22"/>
          <w:shd w:val="clear" w:color="auto" w:fill="FFFFFF"/>
          <w:lang w:val="nl-NL"/>
        </w:rPr>
        <w:t xml:space="preserve">voor rekening van de </w:t>
      </w:r>
      <w:r w:rsidR="007556C3" w:rsidRPr="007100CA">
        <w:rPr>
          <w:rStyle w:val="normaltextrun"/>
          <w:color w:val="000000"/>
          <w:szCs w:val="22"/>
          <w:shd w:val="clear" w:color="auto" w:fill="FFFFFF"/>
          <w:lang w:val="nl-NL"/>
        </w:rPr>
        <w:t>aanbestedende dienst.</w:t>
      </w:r>
    </w:p>
    <w:p w14:paraId="02891A18" w14:textId="06C6DF24" w:rsidR="009875B8" w:rsidRPr="009875B8" w:rsidRDefault="009875B8" w:rsidP="0015271F">
      <w:pPr>
        <w:pStyle w:val="Vade-mecumtitre1"/>
        <w:numPr>
          <w:ilvl w:val="0"/>
          <w:numId w:val="0"/>
        </w:numPr>
      </w:pPr>
      <w:bookmarkStart w:id="545" w:name="_Toc117601136"/>
      <w:r w:rsidRPr="009875B8">
        <w:lastRenderedPageBreak/>
        <w:t>A16. Facturatie en betaling</w:t>
      </w:r>
      <w:bookmarkEnd w:id="519"/>
      <w:bookmarkEnd w:id="520"/>
      <w:bookmarkEnd w:id="521"/>
      <w:bookmarkEnd w:id="522"/>
      <w:bookmarkEnd w:id="523"/>
      <w:bookmarkEnd w:id="524"/>
      <w:bookmarkEnd w:id="525"/>
      <w:bookmarkEnd w:id="526"/>
      <w:bookmarkEnd w:id="527"/>
      <w:bookmarkEnd w:id="528"/>
      <w:bookmarkEnd w:id="533"/>
      <w:bookmarkEnd w:id="534"/>
      <w:bookmarkEnd w:id="535"/>
      <w:bookmarkEnd w:id="536"/>
      <w:bookmarkEnd w:id="545"/>
    </w:p>
    <w:p w14:paraId="0346BCCA" w14:textId="4D20C9CA" w:rsidR="00276306" w:rsidRPr="009110B1" w:rsidRDefault="00276306" w:rsidP="79A775EF">
      <w:pPr>
        <w:snapToGrid w:val="0"/>
        <w:spacing w:before="240" w:after="120" w:line="240" w:lineRule="auto"/>
        <w:jc w:val="both"/>
        <w:rPr>
          <w:rFonts w:eastAsia="Times New Roman" w:cs="Times New Roman"/>
          <w:lang w:val="nl-BE"/>
        </w:rPr>
      </w:pPr>
      <w:r w:rsidRPr="009110B1">
        <w:rPr>
          <w:rFonts w:eastAsia="Times New Roman" w:cs="Times New Roman"/>
          <w:lang w:val="nl-BE"/>
        </w:rPr>
        <w:t>De in punt A</w:t>
      </w:r>
      <w:r w:rsidR="0D4CCA6D" w:rsidRPr="009110B1">
        <w:rPr>
          <w:rFonts w:eastAsia="Times New Roman" w:cs="Times New Roman"/>
          <w:lang w:val="nl-BE"/>
        </w:rPr>
        <w:t>1</w:t>
      </w:r>
      <w:r w:rsidRPr="009110B1">
        <w:rPr>
          <w:rFonts w:eastAsia="Times New Roman" w:cs="Times New Roman"/>
          <w:lang w:val="nl-BE"/>
        </w:rPr>
        <w:t xml:space="preserve"> vermelde forfaitaire globale prijs (+ BTW) is tegen ontvangst van de facturen als volgt betaalbaar:</w:t>
      </w:r>
    </w:p>
    <w:p w14:paraId="4735EBEE" w14:textId="025300A5" w:rsidR="00276306" w:rsidRPr="009110B1" w:rsidRDefault="054ECE6D" w:rsidP="79A775EF">
      <w:pPr>
        <w:pStyle w:val="ListParagraph"/>
        <w:numPr>
          <w:ilvl w:val="0"/>
          <w:numId w:val="9"/>
        </w:numPr>
        <w:snapToGrid w:val="0"/>
        <w:spacing w:before="240" w:after="120" w:line="240" w:lineRule="auto"/>
        <w:jc w:val="left"/>
        <w:rPr>
          <w:rFonts w:eastAsia="Times New Roman" w:cs="Times New Roman"/>
          <w:lang w:val="nl-BE"/>
        </w:rPr>
      </w:pPr>
      <w:r w:rsidRPr="009110B1">
        <w:rPr>
          <w:rFonts w:eastAsia="Times New Roman" w:cs="Times New Roman"/>
          <w:lang w:val="nl-BE"/>
        </w:rPr>
        <w:t>15</w:t>
      </w:r>
      <w:r w:rsidR="00276306" w:rsidRPr="009110B1">
        <w:rPr>
          <w:rFonts w:eastAsia="Times New Roman" w:cs="Times New Roman"/>
          <w:lang w:val="nl-BE"/>
        </w:rPr>
        <w:t xml:space="preserve">% van het forfaitair bedrag na goedkeuring van </w:t>
      </w:r>
      <w:r w:rsidR="1ADD0D8D" w:rsidRPr="009110B1">
        <w:rPr>
          <w:rFonts w:eastAsia="Times New Roman" w:cs="Times New Roman"/>
          <w:lang w:val="nl-BE"/>
        </w:rPr>
        <w:t>de methodologische nota</w:t>
      </w:r>
      <w:r w:rsidR="00276306" w:rsidRPr="009110B1">
        <w:rPr>
          <w:rFonts w:eastAsia="Times New Roman" w:cs="Times New Roman"/>
          <w:lang w:val="nl-BE"/>
        </w:rPr>
        <w:t xml:space="preserve"> door de aanbestedende overheid;</w:t>
      </w:r>
    </w:p>
    <w:p w14:paraId="70503E54" w14:textId="38C282AF" w:rsidR="00276306" w:rsidRPr="009110B1" w:rsidRDefault="41A72132" w:rsidP="79A775EF">
      <w:pPr>
        <w:pStyle w:val="ListParagraph"/>
        <w:numPr>
          <w:ilvl w:val="0"/>
          <w:numId w:val="9"/>
        </w:numPr>
        <w:snapToGrid w:val="0"/>
        <w:spacing w:before="240" w:after="120" w:line="240" w:lineRule="auto"/>
        <w:jc w:val="left"/>
        <w:rPr>
          <w:rFonts w:eastAsia="Times New Roman" w:cs="Times New Roman"/>
          <w:lang w:val="nl-BE"/>
        </w:rPr>
      </w:pPr>
      <w:r w:rsidRPr="009110B1">
        <w:rPr>
          <w:rFonts w:eastAsia="Times New Roman" w:cs="Times New Roman"/>
          <w:lang w:val="nl-BE"/>
        </w:rPr>
        <w:t>15</w:t>
      </w:r>
      <w:r w:rsidR="78495ACB" w:rsidRPr="009110B1">
        <w:rPr>
          <w:rFonts w:eastAsia="Times New Roman" w:cs="Times New Roman"/>
          <w:lang w:val="nl-BE"/>
        </w:rPr>
        <w:t>% van het forfaitair bedrag o</w:t>
      </w:r>
      <w:r w:rsidR="2CAEFE89" w:rsidRPr="009110B1">
        <w:rPr>
          <w:rFonts w:eastAsia="Times New Roman" w:cs="Times New Roman"/>
          <w:lang w:val="nl-BE"/>
        </w:rPr>
        <w:t>p</w:t>
      </w:r>
      <w:r w:rsidR="78495ACB" w:rsidRPr="009110B1">
        <w:rPr>
          <w:rFonts w:eastAsia="Times New Roman" w:cs="Times New Roman"/>
          <w:lang w:val="nl-BE"/>
        </w:rPr>
        <w:t xml:space="preserve"> na goedkeuring van </w:t>
      </w:r>
      <w:r w:rsidR="3E7D431F" w:rsidRPr="009110B1">
        <w:rPr>
          <w:rFonts w:eastAsia="Times New Roman" w:cs="Times New Roman"/>
          <w:lang w:val="nl-BE"/>
        </w:rPr>
        <w:t>de mapping</w:t>
      </w:r>
      <w:r w:rsidR="656F9C99" w:rsidRPr="009110B1">
        <w:rPr>
          <w:rFonts w:eastAsia="Times New Roman" w:cs="Times New Roman"/>
          <w:lang w:val="nl-BE"/>
        </w:rPr>
        <w:t xml:space="preserve"> </w:t>
      </w:r>
      <w:r w:rsidR="78495ACB" w:rsidRPr="009110B1">
        <w:rPr>
          <w:rFonts w:eastAsia="Times New Roman" w:cs="Times New Roman"/>
          <w:lang w:val="nl-BE"/>
        </w:rPr>
        <w:t>door de aanbestedende overheid;</w:t>
      </w:r>
    </w:p>
    <w:p w14:paraId="123FBBA9" w14:textId="77E5F2B4" w:rsidR="00276306" w:rsidRPr="009110B1" w:rsidRDefault="60F0E03E" w:rsidP="79A775EF">
      <w:pPr>
        <w:pStyle w:val="ListParagraph"/>
        <w:numPr>
          <w:ilvl w:val="0"/>
          <w:numId w:val="9"/>
        </w:numPr>
        <w:snapToGrid w:val="0"/>
        <w:spacing w:before="240" w:after="120" w:line="240" w:lineRule="auto"/>
        <w:jc w:val="left"/>
        <w:rPr>
          <w:rFonts w:eastAsia="Times New Roman" w:cs="Times New Roman"/>
          <w:lang w:val="nl-BE"/>
        </w:rPr>
      </w:pPr>
      <w:r w:rsidRPr="009110B1">
        <w:rPr>
          <w:rFonts w:eastAsia="Times New Roman" w:cs="Times New Roman"/>
          <w:lang w:val="nl-BE"/>
        </w:rPr>
        <w:t>3</w:t>
      </w:r>
      <w:r w:rsidR="193F8700" w:rsidRPr="009110B1">
        <w:rPr>
          <w:rFonts w:eastAsia="Times New Roman" w:cs="Times New Roman"/>
          <w:lang w:val="nl-BE"/>
        </w:rPr>
        <w:t>5</w:t>
      </w:r>
      <w:r w:rsidR="00276306" w:rsidRPr="009110B1">
        <w:rPr>
          <w:rFonts w:eastAsia="Times New Roman" w:cs="Times New Roman"/>
          <w:lang w:val="nl-BE"/>
        </w:rPr>
        <w:t xml:space="preserve">% van het forfaitair bedrag na </w:t>
      </w:r>
      <w:r w:rsidR="6F300CDA" w:rsidRPr="009110B1">
        <w:rPr>
          <w:rFonts w:eastAsia="Times New Roman" w:cs="Times New Roman"/>
          <w:lang w:val="nl-BE"/>
        </w:rPr>
        <w:t>de uitvoering van de drie landenmissies</w:t>
      </w:r>
    </w:p>
    <w:p w14:paraId="63B8E3D9" w14:textId="7439F8E1" w:rsidR="6EFD3D03" w:rsidRPr="009110B1" w:rsidRDefault="6EFD3D03" w:rsidP="79A775EF">
      <w:pPr>
        <w:pStyle w:val="ListParagraph"/>
        <w:numPr>
          <w:ilvl w:val="0"/>
          <w:numId w:val="9"/>
        </w:numPr>
        <w:spacing w:before="240" w:after="120" w:line="240" w:lineRule="auto"/>
        <w:jc w:val="left"/>
        <w:rPr>
          <w:rFonts w:eastAsia="Times New Roman" w:cs="Times New Roman"/>
          <w:lang w:val="nl-BE"/>
        </w:rPr>
      </w:pPr>
      <w:r w:rsidRPr="009110B1">
        <w:rPr>
          <w:rFonts w:eastAsia="Times New Roman" w:cs="Times New Roman"/>
          <w:lang w:val="nl-BE"/>
        </w:rPr>
        <w:t>2</w:t>
      </w:r>
      <w:r w:rsidR="6BC4CCD0" w:rsidRPr="009110B1">
        <w:rPr>
          <w:rFonts w:eastAsia="Times New Roman" w:cs="Times New Roman"/>
          <w:lang w:val="nl-BE"/>
        </w:rPr>
        <w:t>5</w:t>
      </w:r>
      <w:r w:rsidR="630AEEDE" w:rsidRPr="009110B1">
        <w:rPr>
          <w:rFonts w:eastAsia="Times New Roman" w:cs="Times New Roman"/>
          <w:lang w:val="nl-BE"/>
        </w:rPr>
        <w:t>% na goedkeuring van de 6 landenrapporten</w:t>
      </w:r>
      <w:r w:rsidR="4E51A728" w:rsidRPr="009110B1">
        <w:rPr>
          <w:rFonts w:eastAsia="Times New Roman" w:cs="Times New Roman"/>
          <w:lang w:val="nl-BE"/>
        </w:rPr>
        <w:t xml:space="preserve"> en het eindrapport</w:t>
      </w:r>
      <w:r w:rsidR="45E44853" w:rsidRPr="009110B1">
        <w:rPr>
          <w:rFonts w:eastAsia="Times New Roman" w:cs="Times New Roman"/>
          <w:lang w:val="nl-BE"/>
        </w:rPr>
        <w:t xml:space="preserve"> </w:t>
      </w:r>
      <w:r w:rsidR="630AEEDE" w:rsidRPr="009110B1">
        <w:rPr>
          <w:rFonts w:eastAsia="Times New Roman" w:cs="Times New Roman"/>
          <w:lang w:val="nl-BE"/>
        </w:rPr>
        <w:t>door de aanbestedende overheid</w:t>
      </w:r>
    </w:p>
    <w:p w14:paraId="4306437A" w14:textId="65553008" w:rsidR="00455D6D" w:rsidRPr="009110B1" w:rsidRDefault="630AEEDE" w:rsidP="79A775EF">
      <w:pPr>
        <w:pStyle w:val="ListParagraph"/>
        <w:numPr>
          <w:ilvl w:val="0"/>
          <w:numId w:val="9"/>
        </w:numPr>
        <w:snapToGrid w:val="0"/>
        <w:spacing w:before="240" w:after="120" w:line="240" w:lineRule="auto"/>
        <w:jc w:val="left"/>
        <w:rPr>
          <w:rFonts w:eastAsia="Times New Roman" w:cs="Times New Roman"/>
          <w:lang w:val="nl-BE"/>
        </w:rPr>
      </w:pPr>
      <w:r w:rsidRPr="009110B1">
        <w:rPr>
          <w:rFonts w:eastAsia="Times New Roman" w:cs="Times New Roman"/>
          <w:lang w:val="nl-BE"/>
        </w:rPr>
        <w:t>10</w:t>
      </w:r>
      <w:r w:rsidR="00276306" w:rsidRPr="009110B1">
        <w:rPr>
          <w:rFonts w:eastAsia="Times New Roman" w:cs="Times New Roman"/>
          <w:lang w:val="nl-BE"/>
        </w:rPr>
        <w:t>% van het forfaitair bedrag na de voorziene restitutiemomenten en na oplevering van alle diensten.</w:t>
      </w:r>
      <w:r w:rsidR="00455D6D" w:rsidRPr="009110B1">
        <w:rPr>
          <w:rFonts w:eastAsia="Times New Roman" w:cs="Times New Roman"/>
          <w:lang w:val="nl-BE"/>
        </w:rPr>
        <w:t xml:space="preserve"> </w:t>
      </w:r>
    </w:p>
    <w:p w14:paraId="78054B7D" w14:textId="0C5F6730" w:rsidR="009875B8" w:rsidRPr="00455D6D" w:rsidRDefault="009875B8" w:rsidP="00455D6D">
      <w:pPr>
        <w:snapToGrid w:val="0"/>
        <w:spacing w:before="240" w:after="120" w:line="240" w:lineRule="auto"/>
        <w:jc w:val="left"/>
        <w:rPr>
          <w:rFonts w:eastAsia="Times New Roman" w:cs="Times New Roman"/>
          <w:szCs w:val="22"/>
          <w:lang w:val="nl-BE"/>
        </w:rPr>
      </w:pPr>
      <w:r w:rsidRPr="00455D6D">
        <w:rPr>
          <w:rFonts w:cstheme="minorHAnsi"/>
          <w:color w:val="000000"/>
          <w:szCs w:val="22"/>
          <w:lang w:val="nl-NL"/>
        </w:rPr>
        <w:t>De opdrachtnemer zendt de factuur (in één exemplaar) naar het volgende adres:</w:t>
      </w:r>
    </w:p>
    <w:p w14:paraId="202F0003" w14:textId="268D6341" w:rsidR="00424919" w:rsidRPr="009110B1" w:rsidRDefault="00D145AC" w:rsidP="00424919">
      <w:pPr>
        <w:snapToGrid w:val="0"/>
        <w:spacing w:after="120" w:line="240" w:lineRule="auto"/>
        <w:jc w:val="left"/>
        <w:rPr>
          <w:rFonts w:cstheme="minorHAnsi"/>
          <w:b/>
          <w:color w:val="000000"/>
          <w:szCs w:val="22"/>
          <w:lang w:val="nl-BE"/>
        </w:rPr>
      </w:pPr>
      <w:hyperlink r:id="rId28" w:history="1">
        <w:r w:rsidR="009110B1" w:rsidRPr="00372FED">
          <w:rPr>
            <w:rStyle w:val="Hyperlink"/>
            <w:b/>
            <w:bCs/>
            <w:lang w:val="nl-BE"/>
          </w:rPr>
          <w:t>corinne.machet@diplobel.fed.be</w:t>
        </w:r>
      </w:hyperlink>
      <w:r w:rsidR="009110B1">
        <w:rPr>
          <w:lang w:val="nl-BE"/>
        </w:rPr>
        <w:t xml:space="preserve"> </w:t>
      </w:r>
      <w:r w:rsidR="009875B8" w:rsidRPr="009110B1">
        <w:rPr>
          <w:rFonts w:cstheme="minorHAnsi"/>
          <w:b/>
          <w:color w:val="000000"/>
          <w:szCs w:val="22"/>
          <w:lang w:val="nl-BE"/>
        </w:rPr>
        <w:t xml:space="preserve">en </w:t>
      </w:r>
      <w:hyperlink r:id="rId29" w:history="1">
        <w:r w:rsidR="008166B8" w:rsidRPr="009110B1">
          <w:rPr>
            <w:rStyle w:val="Hyperlink"/>
            <w:b/>
            <w:szCs w:val="22"/>
            <w:lang w:val="nl-BE"/>
          </w:rPr>
          <w:t>ivo.hooghe@diplobel.fed.be</w:t>
        </w:r>
      </w:hyperlink>
    </w:p>
    <w:p w14:paraId="7A137150" w14:textId="764DC297" w:rsidR="00C94725" w:rsidRDefault="00C94725" w:rsidP="00424919">
      <w:pPr>
        <w:snapToGrid w:val="0"/>
        <w:spacing w:after="120" w:line="240" w:lineRule="auto"/>
        <w:jc w:val="both"/>
        <w:rPr>
          <w:rFonts w:cstheme="minorHAnsi"/>
          <w:color w:val="000000"/>
          <w:szCs w:val="22"/>
          <w:lang w:val="nl-NL"/>
        </w:rPr>
      </w:pPr>
      <w:r w:rsidRPr="00C94725">
        <w:rPr>
          <w:rFonts w:cstheme="minorHAnsi"/>
          <w:color w:val="000000"/>
          <w:szCs w:val="22"/>
          <w:lang w:val="nl-NL"/>
        </w:rPr>
        <w:t>Enkel behoorlijk uitgevoerde diensten, en die na samenkomst van het begeleidingscomité een positief advies van de aanbestedende dienst hebben ontvangen, mogen worden gefactureerd.</w:t>
      </w:r>
    </w:p>
    <w:p w14:paraId="44EB8B18" w14:textId="56EEF8BB" w:rsidR="009875B8" w:rsidRPr="009875B8" w:rsidRDefault="009875B8" w:rsidP="009875B8">
      <w:pPr>
        <w:snapToGrid w:val="0"/>
        <w:spacing w:after="120" w:line="240" w:lineRule="auto"/>
        <w:jc w:val="both"/>
        <w:rPr>
          <w:rFonts w:cstheme="minorHAnsi"/>
          <w:color w:val="000000"/>
          <w:szCs w:val="22"/>
          <w:lang w:val="nl-NL"/>
        </w:rPr>
      </w:pPr>
      <w:r w:rsidRPr="009875B8">
        <w:rPr>
          <w:rFonts w:cstheme="minorHAnsi"/>
          <w:color w:val="000000"/>
          <w:szCs w:val="22"/>
          <w:lang w:val="nl-NL"/>
        </w:rPr>
        <w:t xml:space="preserve">De betaling van het aan de opdrachtnemer verschuldigde bedrag vindt plaats binnen de betalingstermijn van dertig dagen vanaf het verstrijken van de </w:t>
      </w:r>
      <w:r w:rsidRPr="009875B8">
        <w:rPr>
          <w:rFonts w:cstheme="minorHAnsi"/>
          <w:szCs w:val="22"/>
          <w:lang w:val="nl-NL"/>
        </w:rPr>
        <w:t>verificatietermijn</w:t>
      </w:r>
      <w:r w:rsidRPr="009875B8">
        <w:rPr>
          <w:rFonts w:cstheme="minorHAnsi"/>
          <w:color w:val="000000"/>
          <w:szCs w:val="22"/>
          <w:lang w:val="nl-NL"/>
        </w:rPr>
        <w:t xml:space="preserve"> </w:t>
      </w:r>
      <w:r w:rsidRPr="009875B8">
        <w:rPr>
          <w:rFonts w:cstheme="minorHAnsi"/>
          <w:color w:val="000000"/>
          <w:spacing w:val="-3"/>
          <w:szCs w:val="22"/>
          <w:lang w:val="nl-NL"/>
        </w:rPr>
        <w:t xml:space="preserve">of te rekenen vanaf de dag die volgt op de laatste dag van de verificatietermijn indien deze minder is dan dertig dagen en </w:t>
      </w:r>
      <w:r w:rsidRPr="009875B8">
        <w:rPr>
          <w:rFonts w:cstheme="minorHAnsi"/>
          <w:color w:val="000000"/>
          <w:szCs w:val="22"/>
          <w:lang w:val="nl-NL"/>
        </w:rPr>
        <w:t>voor zover de aanbestedende overheid tegelijk over de regelmatig opgemaakte factuur beschikt.</w:t>
      </w:r>
    </w:p>
    <w:p w14:paraId="1B43FD8D" w14:textId="77777777" w:rsidR="009875B8" w:rsidRPr="009875B8" w:rsidRDefault="009875B8" w:rsidP="009875B8">
      <w:pPr>
        <w:snapToGrid w:val="0"/>
        <w:spacing w:after="120" w:line="240" w:lineRule="auto"/>
        <w:jc w:val="both"/>
        <w:rPr>
          <w:rFonts w:cstheme="minorHAnsi"/>
          <w:color w:val="000000"/>
          <w:szCs w:val="22"/>
          <w:lang w:val="nl-NL"/>
        </w:rPr>
      </w:pPr>
      <w:r w:rsidRPr="009875B8">
        <w:rPr>
          <w:rFonts w:cstheme="minorHAnsi"/>
          <w:color w:val="000000"/>
          <w:szCs w:val="22"/>
          <w:lang w:val="nl-NL"/>
        </w:rPr>
        <w:t xml:space="preserve">Indien de opdrachtdocumenten geen afzonderlijke schuldvordering voorzien, geldt de factuur als </w:t>
      </w:r>
      <w:r w:rsidRPr="009875B8">
        <w:rPr>
          <w:rFonts w:cstheme="minorHAnsi"/>
          <w:szCs w:val="22"/>
          <w:lang w:val="nl-NL"/>
        </w:rPr>
        <w:t>schuldvordering</w:t>
      </w:r>
      <w:r w:rsidRPr="009875B8">
        <w:rPr>
          <w:rFonts w:cstheme="minorHAnsi"/>
          <w:spacing w:val="-3"/>
          <w:szCs w:val="22"/>
          <w:lang w:val="nl-NL"/>
        </w:rPr>
        <w:t>.</w:t>
      </w:r>
    </w:p>
    <w:p w14:paraId="1A62B7EE" w14:textId="1D2C8A2F" w:rsidR="009875B8" w:rsidRDefault="009875B8" w:rsidP="009875B8">
      <w:pPr>
        <w:snapToGrid w:val="0"/>
        <w:spacing w:after="120" w:line="240" w:lineRule="auto"/>
        <w:jc w:val="both"/>
        <w:rPr>
          <w:rFonts w:cstheme="minorHAnsi"/>
          <w:color w:val="000000"/>
          <w:szCs w:val="22"/>
          <w:lang w:val="nl-NL"/>
        </w:rPr>
      </w:pPr>
      <w:r w:rsidRPr="009875B8">
        <w:rPr>
          <w:rFonts w:cstheme="minorHAnsi"/>
          <w:color w:val="000000"/>
          <w:szCs w:val="22"/>
          <w:lang w:val="nl-NL"/>
        </w:rPr>
        <w:t xml:space="preserve">De factuur moet in </w:t>
      </w:r>
      <w:r w:rsidRPr="009875B8">
        <w:rPr>
          <w:rFonts w:cstheme="minorHAnsi"/>
          <w:szCs w:val="22"/>
          <w:lang w:val="nl-NL"/>
        </w:rPr>
        <w:t>EURO</w:t>
      </w:r>
      <w:r w:rsidRPr="009875B8">
        <w:rPr>
          <w:rFonts w:cstheme="minorHAnsi"/>
          <w:color w:val="000000"/>
          <w:szCs w:val="22"/>
          <w:lang w:val="nl-NL"/>
        </w:rPr>
        <w:t xml:space="preserve"> worden opgesteld.</w:t>
      </w:r>
    </w:p>
    <w:p w14:paraId="50BDF874" w14:textId="7654366C" w:rsidR="002E704D" w:rsidRPr="00C324C9" w:rsidRDefault="002E704D" w:rsidP="009875B8">
      <w:pPr>
        <w:snapToGrid w:val="0"/>
        <w:spacing w:after="120" w:line="240" w:lineRule="auto"/>
        <w:jc w:val="both"/>
        <w:rPr>
          <w:rFonts w:cstheme="minorHAnsi"/>
          <w:color w:val="000000"/>
          <w:szCs w:val="22"/>
          <w:lang w:val="nl-NL"/>
        </w:rPr>
      </w:pPr>
    </w:p>
    <w:p w14:paraId="565D87F8" w14:textId="77777777" w:rsidR="00D33F06" w:rsidRPr="004936E3" w:rsidRDefault="00D33F06">
      <w:pPr>
        <w:pStyle w:val="Vade-mecumtitre2"/>
        <w:rPr>
          <w:lang w:val="nl-NL"/>
        </w:rPr>
      </w:pPr>
      <w:bookmarkStart w:id="546" w:name="_Toc115882658"/>
      <w:bookmarkStart w:id="547" w:name="_Toc117601137"/>
      <w:bookmarkStart w:id="548" w:name="_Toc114066779"/>
      <w:r w:rsidRPr="79A775EF">
        <w:rPr>
          <w:lang w:val="nl-NL"/>
        </w:rPr>
        <w:t>A16.1 Versturen van e-facturen naar het Mercuriusplatform</w:t>
      </w:r>
      <w:bookmarkEnd w:id="546"/>
      <w:bookmarkEnd w:id="547"/>
      <w:r w:rsidRPr="79A775EF">
        <w:rPr>
          <w:lang w:val="nl-NL"/>
        </w:rPr>
        <w:t xml:space="preserve"> </w:t>
      </w:r>
      <w:bookmarkEnd w:id="548"/>
    </w:p>
    <w:p w14:paraId="559B5936" w14:textId="75720344" w:rsidR="00D33F06" w:rsidRDefault="00D33F06" w:rsidP="009875B8">
      <w:pPr>
        <w:snapToGrid w:val="0"/>
        <w:spacing w:after="120" w:line="240" w:lineRule="auto"/>
        <w:jc w:val="both"/>
        <w:rPr>
          <w:rFonts w:cstheme="minorHAnsi"/>
          <w:color w:val="000000"/>
          <w:szCs w:val="22"/>
          <w:lang w:val="nl-NL"/>
        </w:rPr>
      </w:pPr>
      <w:r w:rsidRPr="00D33F06">
        <w:rPr>
          <w:rFonts w:cstheme="minorHAnsi"/>
          <w:color w:val="000000"/>
          <w:szCs w:val="22"/>
          <w:lang w:val="nl-NL"/>
        </w:rPr>
        <w:t xml:space="preserve">De e-facturen kunnen elektronisch verstuurd worden naar het Mercuriusplatform. Dit platform is de unieke toegangspoort voor e-facturen naar alle overheden binnen België. 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 </w:t>
      </w:r>
      <w:hyperlink r:id="rId30" w:history="1">
        <w:r w:rsidRPr="00C1307F">
          <w:rPr>
            <w:rStyle w:val="Hyperlink"/>
            <w:rFonts w:cstheme="minorHAnsi"/>
            <w:szCs w:val="22"/>
            <w:lang w:val="nl-NL"/>
          </w:rPr>
          <w:t>http://peppol.eu/</w:t>
        </w:r>
      </w:hyperlink>
      <w:r>
        <w:rPr>
          <w:rFonts w:cstheme="minorHAnsi"/>
          <w:color w:val="000000"/>
          <w:szCs w:val="22"/>
          <w:lang w:val="nl-NL"/>
        </w:rPr>
        <w:t xml:space="preserve"> </w:t>
      </w:r>
      <w:r w:rsidRPr="00D33F06">
        <w:rPr>
          <w:rFonts w:cstheme="minorHAnsi"/>
          <w:color w:val="000000"/>
          <w:szCs w:val="22"/>
          <w:lang w:val="nl-NL"/>
        </w:rPr>
        <w:t xml:space="preserve"> </w:t>
      </w:r>
    </w:p>
    <w:p w14:paraId="0D23F968" w14:textId="77777777" w:rsidR="00D33F06" w:rsidRDefault="00D33F06" w:rsidP="009875B8">
      <w:pPr>
        <w:snapToGrid w:val="0"/>
        <w:spacing w:after="120" w:line="240" w:lineRule="auto"/>
        <w:jc w:val="both"/>
        <w:rPr>
          <w:rFonts w:cstheme="minorHAnsi"/>
          <w:color w:val="000000"/>
          <w:szCs w:val="22"/>
          <w:lang w:val="nl-NL"/>
        </w:rPr>
      </w:pPr>
      <w:r w:rsidRPr="00D33F06">
        <w:rPr>
          <w:rFonts w:cstheme="minorHAnsi"/>
          <w:color w:val="000000"/>
          <w:szCs w:val="22"/>
          <w:lang w:val="nl-NL"/>
        </w:rPr>
        <w:t xml:space="preserve">Op het Mercuriusplatform is een visuele ‘track and trace’-functionaliteit voorzien, waarop elke betrokkene -ongeacht de serviceprovider waar men bij is aangesloten- kan opvolgen wat de status is van de factuur die zij of hij heeft verstuurd over het Mercuriusplatform. </w:t>
      </w:r>
    </w:p>
    <w:p w14:paraId="50B0BFD8" w14:textId="77777777" w:rsidR="00D33F06" w:rsidRDefault="00D33F06" w:rsidP="009875B8">
      <w:pPr>
        <w:snapToGrid w:val="0"/>
        <w:spacing w:after="120" w:line="240" w:lineRule="auto"/>
        <w:jc w:val="both"/>
        <w:rPr>
          <w:rFonts w:cstheme="minorHAnsi"/>
          <w:color w:val="000000"/>
          <w:szCs w:val="22"/>
          <w:lang w:val="nl-NL"/>
        </w:rPr>
      </w:pPr>
      <w:r w:rsidRPr="00D33F06">
        <w:rPr>
          <w:rFonts w:cstheme="minorHAnsi"/>
          <w:color w:val="000000"/>
          <w:szCs w:val="22"/>
          <w:lang w:val="nl-NL"/>
        </w:rPr>
        <w:t xml:space="preserve">Voor opdrachtnemers die nog niet klaar zouden zijn om elektronische facturen te versturen, is op het Mercuriusplatform een optie aanwezig om manueel facturen in te geven, die vervolgens in XML-formaat worden verstuurd en verder op het platform kunnen worden opgevolgd. </w:t>
      </w:r>
    </w:p>
    <w:p w14:paraId="0900DE7D" w14:textId="562B2C00" w:rsidR="00D33F06" w:rsidRDefault="00D33F06" w:rsidP="009875B8">
      <w:pPr>
        <w:snapToGrid w:val="0"/>
        <w:spacing w:after="120" w:line="240" w:lineRule="auto"/>
        <w:jc w:val="both"/>
        <w:rPr>
          <w:rFonts w:cstheme="minorHAnsi"/>
          <w:color w:val="000000"/>
          <w:szCs w:val="22"/>
          <w:lang w:val="nl-NL"/>
        </w:rPr>
      </w:pPr>
      <w:r w:rsidRPr="00D33F06">
        <w:rPr>
          <w:rFonts w:cstheme="minorHAnsi"/>
          <w:color w:val="000000"/>
          <w:szCs w:val="22"/>
          <w:lang w:val="nl-NL"/>
        </w:rPr>
        <w:t xml:space="preserve">Voor informatie omtrent het gebruik van het Mercuriusplatform kan u terecht op: </w:t>
      </w:r>
      <w:hyperlink r:id="rId31" w:history="1">
        <w:r w:rsidRPr="00C1307F">
          <w:rPr>
            <w:rStyle w:val="Hyperlink"/>
            <w:rFonts w:cstheme="minorHAnsi"/>
            <w:szCs w:val="22"/>
            <w:lang w:val="nl-NL"/>
          </w:rPr>
          <w:t>https://digital.belgium.be/e-invoicing/</w:t>
        </w:r>
      </w:hyperlink>
      <w:r w:rsidRPr="00D33F06">
        <w:rPr>
          <w:rFonts w:cstheme="minorHAnsi"/>
          <w:color w:val="000000"/>
          <w:szCs w:val="22"/>
          <w:lang w:val="nl-NL"/>
        </w:rPr>
        <w:t xml:space="preserve"> </w:t>
      </w:r>
    </w:p>
    <w:p w14:paraId="2CBE3A0B" w14:textId="3F4149EB" w:rsidR="00D33F06" w:rsidRDefault="00D33F06" w:rsidP="009875B8">
      <w:pPr>
        <w:snapToGrid w:val="0"/>
        <w:spacing w:after="120" w:line="240" w:lineRule="auto"/>
        <w:jc w:val="both"/>
        <w:rPr>
          <w:rFonts w:cstheme="minorHAnsi"/>
          <w:color w:val="000000"/>
          <w:szCs w:val="22"/>
          <w:lang w:val="nl-NL"/>
        </w:rPr>
      </w:pPr>
      <w:r w:rsidRPr="00D33F06">
        <w:rPr>
          <w:rFonts w:cstheme="minorHAnsi"/>
          <w:color w:val="000000"/>
          <w:szCs w:val="22"/>
          <w:lang w:val="nl-NL"/>
        </w:rPr>
        <w:lastRenderedPageBreak/>
        <w:t xml:space="preserve">Meer algemene informatie over e-facturatie in België is terug te vinden op: </w:t>
      </w:r>
      <w:hyperlink r:id="rId32" w:history="1">
        <w:r w:rsidRPr="00C1307F">
          <w:rPr>
            <w:rStyle w:val="Hyperlink"/>
            <w:rFonts w:cstheme="minorHAnsi"/>
            <w:szCs w:val="22"/>
            <w:lang w:val="nl-NL"/>
          </w:rPr>
          <w:t>http://www.efacture.belgium.be/nl/index/index.html</w:t>
        </w:r>
      </w:hyperlink>
      <w:r>
        <w:rPr>
          <w:rFonts w:cstheme="minorHAnsi"/>
          <w:color w:val="000000"/>
          <w:szCs w:val="22"/>
          <w:lang w:val="nl-NL"/>
        </w:rPr>
        <w:t xml:space="preserve"> </w:t>
      </w:r>
    </w:p>
    <w:p w14:paraId="1C8D9283" w14:textId="77777777" w:rsidR="00255FD8" w:rsidRDefault="00255FD8" w:rsidP="002E704D">
      <w:pPr>
        <w:jc w:val="both"/>
        <w:rPr>
          <w:b/>
          <w:bCs/>
          <w:lang w:val="nl-NL"/>
        </w:rPr>
      </w:pPr>
      <w:bookmarkStart w:id="549" w:name="_Toc3886197"/>
      <w:bookmarkStart w:id="550" w:name="_Toc1985178"/>
      <w:bookmarkStart w:id="551" w:name="_Toc3887117"/>
      <w:bookmarkStart w:id="552" w:name="_Toc12453069"/>
      <w:bookmarkStart w:id="553" w:name="_Toc107899970"/>
      <w:bookmarkStart w:id="554" w:name="_Toc108097526"/>
      <w:bookmarkStart w:id="555" w:name="_Toc108507427"/>
      <w:bookmarkStart w:id="556" w:name="_Toc108509961"/>
      <w:bookmarkStart w:id="557" w:name="_Toc113535688"/>
      <w:bookmarkStart w:id="558" w:name="_Toc113544113"/>
      <w:bookmarkStart w:id="559" w:name="_Hlk189411"/>
      <w:bookmarkStart w:id="560" w:name="_Hlk529797398"/>
      <w:bookmarkStart w:id="561" w:name="_Toc529699999"/>
      <w:bookmarkStart w:id="562" w:name="_Toc529700615"/>
      <w:bookmarkStart w:id="563" w:name="_Toc529747471"/>
      <w:bookmarkStart w:id="564" w:name="_Toc230715"/>
      <w:bookmarkStart w:id="565" w:name="_Toc230769"/>
      <w:bookmarkStart w:id="566" w:name="_Toc12079564"/>
      <w:bookmarkStart w:id="567" w:name="_Toc12862760"/>
      <w:bookmarkStart w:id="568" w:name="_Toc19591219"/>
      <w:bookmarkStart w:id="569" w:name="_Toc486514007"/>
      <w:bookmarkStart w:id="570" w:name="_Toc529699998"/>
      <w:bookmarkStart w:id="571" w:name="_Toc529700614"/>
      <w:bookmarkStart w:id="572" w:name="_Toc529747470"/>
      <w:bookmarkStart w:id="573" w:name="_Toc230714"/>
      <w:bookmarkStart w:id="574" w:name="_Toc230768"/>
      <w:bookmarkStart w:id="575" w:name="_Toc12079563"/>
      <w:bookmarkStart w:id="576" w:name="_Toc12862759"/>
      <w:bookmarkStart w:id="577" w:name="_Toc19591218"/>
      <w:bookmarkStart w:id="578" w:name="_Toc486514006"/>
    </w:p>
    <w:p w14:paraId="5836F7A8" w14:textId="409E8628" w:rsidR="009875B8" w:rsidRPr="002E704D" w:rsidRDefault="009875B8" w:rsidP="002E704D">
      <w:pPr>
        <w:jc w:val="both"/>
        <w:rPr>
          <w:b/>
          <w:bCs/>
          <w:lang w:val="nl-NL"/>
        </w:rPr>
      </w:pPr>
      <w:r w:rsidRPr="002E704D">
        <w:rPr>
          <w:b/>
          <w:bCs/>
          <w:lang w:val="nl-NL"/>
        </w:rPr>
        <w:t>Wat moet uw e-factuur minimaal bevatten?</w:t>
      </w:r>
      <w:bookmarkEnd w:id="549"/>
      <w:bookmarkEnd w:id="550"/>
      <w:bookmarkEnd w:id="551"/>
      <w:bookmarkEnd w:id="552"/>
      <w:bookmarkEnd w:id="553"/>
      <w:bookmarkEnd w:id="554"/>
      <w:bookmarkEnd w:id="555"/>
      <w:bookmarkEnd w:id="556"/>
      <w:bookmarkEnd w:id="557"/>
      <w:bookmarkEnd w:id="558"/>
      <w:r w:rsidRPr="002E704D">
        <w:rPr>
          <w:b/>
          <w:bCs/>
          <w:lang w:val="nl-NL"/>
        </w:rPr>
        <w:t xml:space="preserve"> </w:t>
      </w:r>
    </w:p>
    <w:p w14:paraId="4FC7CBD6" w14:textId="77777777" w:rsidR="009875B8" w:rsidRPr="009875B8" w:rsidRDefault="009875B8" w:rsidP="009875B8">
      <w:pPr>
        <w:snapToGrid w:val="0"/>
        <w:spacing w:line="240" w:lineRule="auto"/>
        <w:jc w:val="both"/>
        <w:rPr>
          <w:lang w:val="nl-NL"/>
        </w:rPr>
      </w:pPr>
      <w:r w:rsidRPr="009875B8">
        <w:rPr>
          <w:lang w:val="nl-NL"/>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3EE3A87C" w14:textId="080D361C" w:rsidR="009875B8" w:rsidRPr="009875B8" w:rsidRDefault="009875B8" w:rsidP="009875B8">
      <w:pPr>
        <w:snapToGrid w:val="0"/>
        <w:spacing w:line="240" w:lineRule="auto"/>
        <w:ind w:left="958" w:hanging="567"/>
        <w:jc w:val="both"/>
        <w:rPr>
          <w:rFonts w:cs="Calibri"/>
          <w:lang w:val="nl-NL" w:eastAsia="nl-NL"/>
        </w:rPr>
      </w:pPr>
      <w:r w:rsidRPr="79A775EF">
        <w:rPr>
          <w:rFonts w:cs="Calibri"/>
          <w:lang w:val="nl-NL" w:eastAsia="nl-NL"/>
        </w:rPr>
        <w:t xml:space="preserve">1° </w:t>
      </w:r>
      <w:r w:rsidRPr="008B70AD">
        <w:rPr>
          <w:lang w:val="nl-NL"/>
          <w:rPrChange w:id="579" w:author="Maene Lobke - S2" w:date="2022-10-19T14:45:00Z">
            <w:rPr/>
          </w:rPrChange>
        </w:rPr>
        <w:tab/>
      </w:r>
      <w:r w:rsidRPr="79A775EF">
        <w:rPr>
          <w:rFonts w:cs="Calibri"/>
          <w:lang w:val="nl-NL" w:eastAsia="nl-NL"/>
        </w:rPr>
        <w:t xml:space="preserve">Proces- en factuurkenmerken, met inbegrip van </w:t>
      </w:r>
      <w:r w:rsidR="0053733F" w:rsidRPr="79A775EF">
        <w:rPr>
          <w:rFonts w:cs="Calibri"/>
          <w:lang w:val="nl-NL" w:eastAsia="nl-NL"/>
        </w:rPr>
        <w:t xml:space="preserve">de referentie van deze opdracht </w:t>
      </w:r>
      <w:r w:rsidR="0053733F" w:rsidRPr="009110B1">
        <w:rPr>
          <w:rFonts w:cs="Calibri"/>
          <w:lang w:val="nl-NL" w:eastAsia="nl-NL"/>
        </w:rPr>
        <w:t>S2/20</w:t>
      </w:r>
      <w:r w:rsidR="008166B8" w:rsidRPr="009110B1">
        <w:rPr>
          <w:rFonts w:cs="Calibri"/>
          <w:lang w:val="nl-NL" w:eastAsia="nl-NL"/>
        </w:rPr>
        <w:t>22</w:t>
      </w:r>
      <w:r w:rsidR="0053733F" w:rsidRPr="009110B1">
        <w:rPr>
          <w:rFonts w:cs="Calibri"/>
          <w:lang w:val="nl-NL" w:eastAsia="nl-NL"/>
        </w:rPr>
        <w:t>/</w:t>
      </w:r>
      <w:r w:rsidR="008166B8" w:rsidRPr="009110B1">
        <w:rPr>
          <w:rFonts w:cs="Calibri"/>
          <w:lang w:val="nl-NL" w:eastAsia="nl-NL"/>
        </w:rPr>
        <w:t>0</w:t>
      </w:r>
      <w:r w:rsidR="2EF33271" w:rsidRPr="009110B1">
        <w:rPr>
          <w:rFonts w:cs="Calibri"/>
          <w:lang w:val="nl-NL" w:eastAsia="nl-NL"/>
        </w:rPr>
        <w:t>3</w:t>
      </w:r>
      <w:r w:rsidRPr="009110B1">
        <w:rPr>
          <w:rFonts w:cs="Calibri"/>
          <w:lang w:val="nl-NL" w:eastAsia="nl-NL"/>
        </w:rPr>
        <w:t>;</w:t>
      </w:r>
    </w:p>
    <w:p w14:paraId="3EC36B6C"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3° </w:t>
      </w:r>
      <w:r w:rsidRPr="009875B8">
        <w:rPr>
          <w:rFonts w:cs="Calibri"/>
          <w:szCs w:val="22"/>
          <w:lang w:val="nl-NL" w:eastAsia="nl-NL"/>
        </w:rPr>
        <w:tab/>
        <w:t>Factuurperiode;</w:t>
      </w:r>
    </w:p>
    <w:p w14:paraId="69FCE7EC"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3° </w:t>
      </w:r>
      <w:r w:rsidRPr="009875B8">
        <w:rPr>
          <w:rFonts w:cs="Calibri"/>
          <w:szCs w:val="22"/>
          <w:lang w:val="nl-NL" w:eastAsia="nl-NL"/>
        </w:rPr>
        <w:tab/>
        <w:t>Inlichtingen betreffende de opdrachtnemer;</w:t>
      </w:r>
    </w:p>
    <w:p w14:paraId="265A32D6"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4° </w:t>
      </w:r>
      <w:r w:rsidRPr="009875B8">
        <w:rPr>
          <w:rFonts w:cs="Calibri"/>
          <w:szCs w:val="22"/>
          <w:lang w:val="nl-NL" w:eastAsia="nl-NL"/>
        </w:rPr>
        <w:tab/>
        <w:t>Inlichtingen betreffende de aanbestedende overheid;</w:t>
      </w:r>
    </w:p>
    <w:p w14:paraId="6D5CF702"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5° </w:t>
      </w:r>
      <w:r w:rsidRPr="009875B8">
        <w:rPr>
          <w:rFonts w:cs="Calibri"/>
          <w:szCs w:val="22"/>
          <w:lang w:val="nl-NL" w:eastAsia="nl-NL"/>
        </w:rPr>
        <w:tab/>
        <w:t>Inlichtingen over de begunstigde van betaling;</w:t>
      </w:r>
    </w:p>
    <w:p w14:paraId="227CFB91"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6° </w:t>
      </w:r>
      <w:r w:rsidRPr="009875B8">
        <w:rPr>
          <w:rFonts w:cs="Calibri"/>
          <w:szCs w:val="22"/>
          <w:lang w:val="nl-NL" w:eastAsia="nl-NL"/>
        </w:rPr>
        <w:tab/>
        <w:t>Inlichtingen over de fiscaal vertegenwoordiger van de opdrachtnemer</w:t>
      </w:r>
      <w:r w:rsidRPr="009875B8">
        <w:rPr>
          <w:rFonts w:cs="Calibri"/>
          <w:szCs w:val="22"/>
          <w:lang w:val="nl-NL" w:eastAsia="nl-NL"/>
        </w:rPr>
        <w:footnoteReference w:id="2"/>
      </w:r>
      <w:r w:rsidRPr="009875B8">
        <w:rPr>
          <w:rFonts w:cs="Calibri"/>
          <w:szCs w:val="22"/>
          <w:lang w:val="nl-NL" w:eastAsia="nl-NL"/>
        </w:rPr>
        <w:t>;</w:t>
      </w:r>
    </w:p>
    <w:p w14:paraId="2FCBBC9F"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7° </w:t>
      </w:r>
      <w:r w:rsidRPr="009875B8">
        <w:rPr>
          <w:rFonts w:cs="Calibri"/>
          <w:szCs w:val="22"/>
          <w:lang w:val="nl-NL" w:eastAsia="nl-NL"/>
        </w:rPr>
        <w:tab/>
        <w:t>Verwijzing naar de overeenkomst;</w:t>
      </w:r>
    </w:p>
    <w:p w14:paraId="360FFC86"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8° </w:t>
      </w:r>
      <w:r w:rsidRPr="009875B8">
        <w:rPr>
          <w:rFonts w:cs="Calibri"/>
          <w:szCs w:val="22"/>
          <w:lang w:val="nl-NL" w:eastAsia="nl-NL"/>
        </w:rPr>
        <w:tab/>
        <w:t>Details van de uitgevoerde diensten;</w:t>
      </w:r>
    </w:p>
    <w:p w14:paraId="1E577593" w14:textId="77777777" w:rsidR="009875B8" w:rsidRPr="009875B8" w:rsidRDefault="009875B8" w:rsidP="009875B8">
      <w:pPr>
        <w:snapToGrid w:val="0"/>
        <w:spacing w:line="240" w:lineRule="auto"/>
        <w:ind w:left="958" w:hanging="567"/>
        <w:jc w:val="both"/>
        <w:rPr>
          <w:rFonts w:cs="Calibri"/>
          <w:szCs w:val="22"/>
          <w:lang w:val="nl-NL" w:eastAsia="nl-NL"/>
        </w:rPr>
      </w:pPr>
      <w:r w:rsidRPr="009875B8">
        <w:rPr>
          <w:rFonts w:cs="Calibri"/>
          <w:szCs w:val="22"/>
          <w:lang w:val="nl-NL" w:eastAsia="nl-NL"/>
        </w:rPr>
        <w:t xml:space="preserve">9° </w:t>
      </w:r>
      <w:r w:rsidRPr="009875B8">
        <w:rPr>
          <w:rFonts w:cs="Calibri"/>
          <w:szCs w:val="22"/>
          <w:lang w:val="nl-NL" w:eastAsia="nl-NL"/>
        </w:rPr>
        <w:tab/>
        <w:t>Betalingsinstructies;</w:t>
      </w:r>
    </w:p>
    <w:p w14:paraId="1C465A87" w14:textId="77777777" w:rsidR="009875B8" w:rsidRPr="009875B8" w:rsidRDefault="009875B8" w:rsidP="79A775EF">
      <w:pPr>
        <w:snapToGrid w:val="0"/>
        <w:spacing w:line="240" w:lineRule="auto"/>
        <w:ind w:left="958" w:hanging="567"/>
        <w:jc w:val="both"/>
        <w:rPr>
          <w:rFonts w:cs="Calibri"/>
          <w:lang w:val="nl-NL" w:eastAsia="nl-NL"/>
        </w:rPr>
      </w:pPr>
      <w:r w:rsidRPr="79A775EF">
        <w:rPr>
          <w:rFonts w:cs="Calibri"/>
          <w:lang w:val="nl-NL" w:eastAsia="nl-NL"/>
        </w:rPr>
        <w:t xml:space="preserve">10° </w:t>
      </w:r>
      <w:r w:rsidRPr="008B70AD">
        <w:rPr>
          <w:lang w:val="nl-NL"/>
          <w:rPrChange w:id="580" w:author="Maene Lobke - S2" w:date="2022-10-19T14:45:00Z">
            <w:rPr/>
          </w:rPrChange>
        </w:rPr>
        <w:tab/>
      </w:r>
      <w:r w:rsidRPr="79A775EF">
        <w:rPr>
          <w:rFonts w:cs="Calibri"/>
          <w:lang w:val="nl-NL" w:eastAsia="nl-NL"/>
        </w:rPr>
        <w:t>Informatie over kortingen of toeslagen;</w:t>
      </w:r>
    </w:p>
    <w:p w14:paraId="520BA384" w14:textId="77777777" w:rsidR="009875B8" w:rsidRPr="009875B8" w:rsidRDefault="009875B8" w:rsidP="79A775EF">
      <w:pPr>
        <w:snapToGrid w:val="0"/>
        <w:spacing w:line="240" w:lineRule="auto"/>
        <w:ind w:left="958" w:hanging="567"/>
        <w:jc w:val="both"/>
        <w:rPr>
          <w:rFonts w:cs="Calibri"/>
          <w:lang w:val="nl-NL" w:eastAsia="nl-NL"/>
        </w:rPr>
      </w:pPr>
      <w:r w:rsidRPr="79A775EF">
        <w:rPr>
          <w:rFonts w:cs="Calibri"/>
          <w:lang w:val="nl-NL" w:eastAsia="nl-NL"/>
        </w:rPr>
        <w:t xml:space="preserve">11° </w:t>
      </w:r>
      <w:r w:rsidRPr="008B70AD">
        <w:rPr>
          <w:lang w:val="nl-NL"/>
          <w:rPrChange w:id="581" w:author="Maene Lobke - S2" w:date="2022-10-19T14:45:00Z">
            <w:rPr/>
          </w:rPrChange>
        </w:rPr>
        <w:tab/>
      </w:r>
      <w:r w:rsidRPr="79A775EF">
        <w:rPr>
          <w:rFonts w:cs="Calibri"/>
          <w:lang w:val="nl-NL" w:eastAsia="nl-NL"/>
        </w:rPr>
        <w:t>Informatie over de factuurposten;</w:t>
      </w:r>
    </w:p>
    <w:p w14:paraId="238CDAD1" w14:textId="2C90826F" w:rsidR="009875B8" w:rsidRPr="009875B8" w:rsidRDefault="009875B8" w:rsidP="79A775EF">
      <w:pPr>
        <w:snapToGrid w:val="0"/>
        <w:spacing w:line="240" w:lineRule="auto"/>
        <w:ind w:left="958" w:hanging="567"/>
        <w:jc w:val="both"/>
        <w:rPr>
          <w:rFonts w:cs="Calibri"/>
          <w:lang w:val="nl-NL" w:eastAsia="nl-NL"/>
        </w:rPr>
      </w:pPr>
      <w:r w:rsidRPr="79A775EF">
        <w:rPr>
          <w:rFonts w:cs="Calibri"/>
          <w:lang w:val="nl-NL" w:eastAsia="nl-NL"/>
        </w:rPr>
        <w:t xml:space="preserve">12° </w:t>
      </w:r>
      <w:r w:rsidR="0008416C">
        <w:rPr>
          <w:rFonts w:cs="Calibri"/>
          <w:lang w:val="nl-NL" w:eastAsia="nl-NL"/>
        </w:rPr>
        <w:t xml:space="preserve">   </w:t>
      </w:r>
      <w:r w:rsidRPr="79A775EF">
        <w:rPr>
          <w:rFonts w:cs="Calibri"/>
          <w:lang w:val="nl-NL" w:eastAsia="nl-NL"/>
        </w:rPr>
        <w:t>Totalen op de factuur;</w:t>
      </w:r>
    </w:p>
    <w:p w14:paraId="6DB351EC" w14:textId="77777777" w:rsidR="009875B8" w:rsidRPr="009875B8" w:rsidRDefault="009875B8" w:rsidP="009875B8">
      <w:pPr>
        <w:snapToGrid w:val="0"/>
        <w:ind w:left="958" w:hanging="567"/>
        <w:jc w:val="both"/>
        <w:rPr>
          <w:rFonts w:cs="Calibri"/>
          <w:lang w:val="nl-NL" w:eastAsia="nl-NL"/>
        </w:rPr>
      </w:pPr>
      <w:r w:rsidRPr="79A775EF">
        <w:rPr>
          <w:rFonts w:cs="Calibri"/>
          <w:lang w:val="nl-NL" w:eastAsia="nl-NL"/>
        </w:rPr>
        <w:t xml:space="preserve">13° </w:t>
      </w:r>
      <w:r w:rsidRPr="008B70AD">
        <w:rPr>
          <w:lang w:val="nl-NL"/>
          <w:rPrChange w:id="582" w:author="Maene Lobke - S2" w:date="2022-10-19T14:45:00Z">
            <w:rPr/>
          </w:rPrChange>
        </w:rPr>
        <w:tab/>
      </w:r>
      <w:r w:rsidRPr="79A775EF">
        <w:rPr>
          <w:rFonts w:cs="Calibri"/>
          <w:lang w:val="nl-NL" w:eastAsia="nl-NL"/>
        </w:rPr>
        <w:t>Uitsplitsing van de btw per tarief.</w:t>
      </w:r>
    </w:p>
    <w:p w14:paraId="135ACE50" w14:textId="77777777" w:rsidR="009875B8" w:rsidRPr="009875B8" w:rsidRDefault="009875B8" w:rsidP="009875B8">
      <w:pPr>
        <w:snapToGrid w:val="0"/>
        <w:spacing w:before="120" w:after="120" w:line="240" w:lineRule="auto"/>
        <w:jc w:val="both"/>
        <w:rPr>
          <w:rFonts w:cstheme="minorHAnsi"/>
          <w:szCs w:val="22"/>
          <w:lang w:val="nl-NL"/>
        </w:rPr>
      </w:pPr>
      <w:r w:rsidRPr="009875B8">
        <w:rPr>
          <w:rFonts w:cstheme="minorHAnsi"/>
          <w:szCs w:val="22"/>
          <w:lang w:val="nl-NL"/>
        </w:rPr>
        <w:t>Ongeacht of de opdrachtnemer gebruikmaakt van een geïntegreerde oplossing voor e-facturatie, dient de opmaak van de e-factuur steeds in overeenstemming te zijn met het PEPPOL-BIS-afsprakenkader.</w:t>
      </w:r>
    </w:p>
    <w:p w14:paraId="1DA9850B" w14:textId="77777777" w:rsidR="009875B8" w:rsidRPr="009875B8" w:rsidRDefault="009875B8" w:rsidP="009875B8">
      <w:pPr>
        <w:snapToGrid w:val="0"/>
        <w:spacing w:after="120" w:line="240" w:lineRule="auto"/>
        <w:jc w:val="both"/>
        <w:rPr>
          <w:rFonts w:cstheme="minorHAnsi"/>
          <w:szCs w:val="22"/>
          <w:lang w:val="nl-NL"/>
        </w:rPr>
      </w:pPr>
      <w:r w:rsidRPr="009875B8">
        <w:rPr>
          <w:rFonts w:cstheme="minorHAnsi"/>
          <w:szCs w:val="22"/>
          <w:lang w:val="nl-NL"/>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0B61B065" w14:textId="77777777" w:rsidR="009875B8" w:rsidRPr="009875B8" w:rsidRDefault="009875B8" w:rsidP="009875B8">
      <w:pPr>
        <w:snapToGrid w:val="0"/>
        <w:spacing w:after="120" w:line="240" w:lineRule="auto"/>
        <w:jc w:val="both"/>
        <w:rPr>
          <w:rFonts w:cstheme="minorHAnsi"/>
          <w:szCs w:val="22"/>
          <w:lang w:val="nl-NL"/>
        </w:rPr>
      </w:pPr>
      <w:r w:rsidRPr="009875B8">
        <w:rPr>
          <w:rFonts w:cstheme="minorHAnsi"/>
          <w:szCs w:val="22"/>
          <w:lang w:val="nl-NL"/>
        </w:rPr>
        <w:t>Wanneer in een rechtstreeks betaling van de onderaannemer(s) is voorzien of wanneer de opdracht gegund is aan een combinatie van ondernemers, zijn onderhavige bepalingen van toepassing op elektronische facturen uitgegeven door de onderaannemer(s), door de combinatie of door elk van de ondernemingen die deel uitmaken van de combinatie.</w:t>
      </w:r>
    </w:p>
    <w:p w14:paraId="3DB8CB6A" w14:textId="77777777" w:rsidR="009875B8" w:rsidRPr="009875B8" w:rsidRDefault="009875B8" w:rsidP="005B5557">
      <w:pPr>
        <w:pStyle w:val="Vade-mecumtitre1"/>
        <w:numPr>
          <w:ilvl w:val="0"/>
          <w:numId w:val="0"/>
        </w:numPr>
        <w:ind w:left="432" w:hanging="432"/>
      </w:pPr>
      <w:bookmarkStart w:id="583" w:name="_Toc3886198"/>
      <w:bookmarkStart w:id="584" w:name="_Toc1985179"/>
      <w:bookmarkStart w:id="585" w:name="_Toc12453070"/>
      <w:bookmarkStart w:id="586" w:name="_Toc77719409"/>
      <w:bookmarkStart w:id="587" w:name="_Toc108509962"/>
      <w:bookmarkStart w:id="588" w:name="_Toc117601138"/>
      <w:bookmarkEnd w:id="537"/>
      <w:bookmarkEnd w:id="559"/>
      <w:bookmarkEnd w:id="560"/>
      <w:r w:rsidRPr="009875B8">
        <w:lastRenderedPageBreak/>
        <w:t>A17. Aansprakelijkheid van de opdrachtnemer</w:t>
      </w:r>
      <w:bookmarkEnd w:id="583"/>
      <w:bookmarkEnd w:id="584"/>
      <w:bookmarkEnd w:id="585"/>
      <w:bookmarkEnd w:id="586"/>
      <w:bookmarkEnd w:id="587"/>
      <w:bookmarkEnd w:id="588"/>
    </w:p>
    <w:p w14:paraId="7560683D" w14:textId="77777777" w:rsidR="009875B8" w:rsidRPr="00C64D48" w:rsidRDefault="009875B8">
      <w:pPr>
        <w:pStyle w:val="Vade-mecumtitre2"/>
        <w:rPr>
          <w:lang w:val="nl-BE"/>
        </w:rPr>
      </w:pPr>
      <w:bookmarkStart w:id="589" w:name="_Toc3886199"/>
      <w:bookmarkStart w:id="590" w:name="_Toc12453071"/>
      <w:bookmarkStart w:id="591" w:name="_Toc108509963"/>
      <w:bookmarkStart w:id="592" w:name="_Toc113544477"/>
      <w:bookmarkStart w:id="593" w:name="_Toc114066781"/>
      <w:bookmarkStart w:id="594" w:name="_Toc115882660"/>
      <w:bookmarkStart w:id="595" w:name="_Toc117601139"/>
      <w:r w:rsidRPr="00C64D48">
        <w:rPr>
          <w:lang w:val="nl-BE"/>
        </w:rPr>
        <w:t>A17.1 Fouten, nalatigheden en vertraging</w:t>
      </w:r>
      <w:bookmarkEnd w:id="589"/>
      <w:bookmarkEnd w:id="590"/>
      <w:bookmarkEnd w:id="591"/>
      <w:bookmarkEnd w:id="592"/>
      <w:bookmarkEnd w:id="593"/>
      <w:bookmarkEnd w:id="594"/>
      <w:bookmarkEnd w:id="595"/>
    </w:p>
    <w:p w14:paraId="0E8BD7FC" w14:textId="77777777" w:rsidR="009875B8" w:rsidRPr="009875B8" w:rsidRDefault="009875B8" w:rsidP="002E455C">
      <w:pPr>
        <w:snapToGrid w:val="0"/>
        <w:spacing w:after="120" w:line="240" w:lineRule="auto"/>
        <w:ind w:firstLine="11"/>
        <w:jc w:val="both"/>
        <w:rPr>
          <w:rFonts w:cstheme="minorHAnsi"/>
          <w:szCs w:val="22"/>
          <w:lang w:val="nl-NL"/>
        </w:rPr>
      </w:pPr>
      <w:r w:rsidRPr="009875B8">
        <w:rPr>
          <w:rFonts w:cstheme="minorHAnsi"/>
          <w:szCs w:val="22"/>
          <w:lang w:val="nl-NL"/>
        </w:rPr>
        <w:t>De opdrachtnemer draagt de volle aansprakelijkheid voor de fouten en nalatigheden die in de verleende diensten voorkomen.</w:t>
      </w:r>
    </w:p>
    <w:p w14:paraId="25E9A0B6" w14:textId="77777777" w:rsidR="009875B8" w:rsidRPr="009875B8" w:rsidRDefault="009875B8" w:rsidP="002E455C">
      <w:pPr>
        <w:snapToGrid w:val="0"/>
        <w:spacing w:after="120" w:line="240" w:lineRule="auto"/>
        <w:ind w:firstLine="11"/>
        <w:jc w:val="both"/>
        <w:rPr>
          <w:rFonts w:cstheme="minorHAnsi"/>
          <w:szCs w:val="22"/>
          <w:lang w:val="nl-NL"/>
        </w:rPr>
      </w:pPr>
      <w:r w:rsidRPr="009875B8">
        <w:rPr>
          <w:rFonts w:cstheme="minorHAnsi"/>
          <w:szCs w:val="22"/>
          <w:lang w:val="nl-NL"/>
        </w:rPr>
        <w:t>De opdrachtnemer vrijwaart de aanbestedende overheid bovendien tegen elke schadevergoeding die deze aan derden verschuldigd is op grond van de vertraging bij de uitvoering van de diensten of op grond van het in gebreke blijven van de opdrachtnemer.</w:t>
      </w:r>
    </w:p>
    <w:p w14:paraId="0EC72882" w14:textId="77777777" w:rsidR="009875B8" w:rsidRPr="002E704D" w:rsidRDefault="009875B8">
      <w:pPr>
        <w:pStyle w:val="Vade-mecumtitre2"/>
        <w:rPr>
          <w:lang w:val="nl-NL"/>
        </w:rPr>
      </w:pPr>
      <w:bookmarkStart w:id="596" w:name="_Toc3886200"/>
      <w:bookmarkStart w:id="597" w:name="_Toc3195973"/>
      <w:bookmarkStart w:id="598" w:name="_Toc12453072"/>
      <w:bookmarkStart w:id="599" w:name="_Toc108509964"/>
      <w:bookmarkStart w:id="600" w:name="_Toc113544478"/>
      <w:bookmarkStart w:id="601" w:name="_Toc114066782"/>
      <w:bookmarkStart w:id="602" w:name="_Toc115882661"/>
      <w:bookmarkStart w:id="603" w:name="_Toc117601140"/>
      <w:r w:rsidRPr="79A775EF">
        <w:rPr>
          <w:lang w:val="nl-NL"/>
        </w:rPr>
        <w:t>A17.2 Bijzondere verbintenissen voor de opdrachtnemer</w:t>
      </w:r>
      <w:bookmarkEnd w:id="596"/>
      <w:bookmarkEnd w:id="597"/>
      <w:bookmarkEnd w:id="598"/>
      <w:bookmarkEnd w:id="599"/>
      <w:bookmarkEnd w:id="600"/>
      <w:bookmarkEnd w:id="601"/>
      <w:bookmarkEnd w:id="602"/>
      <w:bookmarkEnd w:id="603"/>
    </w:p>
    <w:p w14:paraId="0969B429" w14:textId="77777777" w:rsidR="009875B8" w:rsidRPr="009875B8" w:rsidRDefault="009875B8" w:rsidP="00A02CF1">
      <w:pPr>
        <w:snapToGrid w:val="0"/>
        <w:spacing w:after="120" w:line="240" w:lineRule="auto"/>
        <w:ind w:firstLine="11"/>
        <w:jc w:val="both"/>
        <w:rPr>
          <w:rFonts w:cstheme="minorHAnsi"/>
          <w:szCs w:val="22"/>
          <w:lang w:val="nl-NL"/>
        </w:rPr>
      </w:pPr>
      <w:r w:rsidRPr="009875B8">
        <w:rPr>
          <w:rFonts w:cstheme="minorHAnsi"/>
          <w:szCs w:val="22"/>
          <w:lang w:val="nl-NL"/>
        </w:rPr>
        <w:t>De opdrachtnemer en zijn medewerkers zijn gebonden door discretieplicht met betrekking tot informatie waarvan zij weet krijgen bij de uitvoering van die opdracht. De informatie kan in geen geval zonder schriftelijke toestemming van de aanbestedende overheid meegedeeld worden aan derden. De opdrachtnemer mag deze opdracht wel opgeven als referentie.</w:t>
      </w:r>
    </w:p>
    <w:p w14:paraId="37312D76" w14:textId="77777777" w:rsidR="009875B8" w:rsidRPr="009875B8" w:rsidRDefault="009875B8" w:rsidP="00A02CF1">
      <w:pPr>
        <w:snapToGrid w:val="0"/>
        <w:spacing w:after="120" w:line="240" w:lineRule="auto"/>
        <w:ind w:firstLine="11"/>
        <w:jc w:val="both"/>
        <w:rPr>
          <w:rFonts w:cstheme="minorHAnsi"/>
          <w:szCs w:val="22"/>
          <w:lang w:val="nl-NL"/>
        </w:rPr>
      </w:pPr>
      <w:r w:rsidRPr="009875B8">
        <w:rPr>
          <w:rFonts w:cstheme="minorHAnsi"/>
          <w:szCs w:val="22"/>
          <w:lang w:val="nl-NL"/>
        </w:rPr>
        <w:t>De opdrachtnemer verbindt er zich toe om, tenzij bij overmacht, de opdracht te laten uitvoeren door de in de offerte opgegeven personen. De vermelde personen of hun vervangers worden allen geacht effectief deel te nemen aan de opdracht. De vervangers moet worden erkend door de aanbestedende overheid.</w:t>
      </w:r>
    </w:p>
    <w:p w14:paraId="2D30951D" w14:textId="77777777" w:rsidR="009875B8" w:rsidRPr="009875B8" w:rsidRDefault="009875B8" w:rsidP="005B5557">
      <w:pPr>
        <w:pStyle w:val="Vade-mecumtitre1"/>
        <w:numPr>
          <w:ilvl w:val="0"/>
          <w:numId w:val="0"/>
        </w:numPr>
      </w:pPr>
      <w:bookmarkStart w:id="604" w:name="_Toc12453073"/>
      <w:bookmarkStart w:id="605" w:name="_Toc77719410"/>
      <w:bookmarkStart w:id="606" w:name="_Toc108509965"/>
      <w:bookmarkStart w:id="607" w:name="_Toc117601141"/>
      <w:r w:rsidRPr="009875B8">
        <w:t>A18. Bescherming van persoonsgegevens en van de persoonlijke levenssfeer</w:t>
      </w:r>
      <w:bookmarkEnd w:id="604"/>
      <w:bookmarkEnd w:id="605"/>
      <w:bookmarkEnd w:id="606"/>
      <w:bookmarkEnd w:id="607"/>
    </w:p>
    <w:p w14:paraId="3BD5321B" w14:textId="77777777" w:rsidR="009875B8" w:rsidRPr="009875B8" w:rsidRDefault="009875B8" w:rsidP="009875B8">
      <w:pPr>
        <w:jc w:val="left"/>
        <w:rPr>
          <w:b/>
          <w:bCs/>
          <w:lang w:val="nl-NL"/>
        </w:rPr>
      </w:pPr>
      <w:r w:rsidRPr="009875B8">
        <w:rPr>
          <w:b/>
          <w:bCs/>
          <w:lang w:val="nl-NL"/>
        </w:rPr>
        <w:t>Bij verwerking</w:t>
      </w:r>
      <w:r w:rsidRPr="009875B8">
        <w:rPr>
          <w:b/>
          <w:bCs/>
          <w:vertAlign w:val="superscript"/>
          <w:lang w:val="nl-NL"/>
        </w:rPr>
        <w:footnoteReference w:id="3"/>
      </w:r>
      <w:r w:rsidRPr="009875B8">
        <w:rPr>
          <w:b/>
          <w:bCs/>
          <w:lang w:val="nl-NL"/>
        </w:rPr>
        <w:t xml:space="preserve"> van persoonsgegevens door de opdrachtnemer namens de aanbestedende overheid: </w:t>
      </w:r>
    </w:p>
    <w:p w14:paraId="652C0F0A" w14:textId="4DE767A5" w:rsidR="005A0EE9" w:rsidRDefault="007E01D4" w:rsidP="005A0EE9">
      <w:pPr>
        <w:snapToGrid w:val="0"/>
        <w:spacing w:after="120" w:line="240" w:lineRule="auto"/>
        <w:jc w:val="both"/>
        <w:rPr>
          <w:rFonts w:eastAsia="Calibri" w:cstheme="minorHAnsi"/>
          <w:szCs w:val="22"/>
          <w:lang w:val="nl-NL"/>
        </w:rPr>
      </w:pPr>
      <w:r w:rsidRPr="007E01D4">
        <w:rPr>
          <w:rFonts w:eastAsia="Calibri" w:cstheme="minorHAnsi"/>
          <w:szCs w:val="22"/>
          <w:lang w:val="nl-NL"/>
        </w:rPr>
        <w:t>De opdrachtnemer dient er zich van bewust te zijn dat de aanbestedende overheid een bijzonder belang hecht aan de bescherming van de persoonlijke levenssfeer. De opdrachtnemer verbindt zich ertoe de verplichtingen met betrekking tot persoonsgegevens zoals voorzien in de Verordening (EU) 2016/679 van 27 april 2016 betreffende de bescherming van natuurlijke personen in verband met de verwerking van persoonsgegevens en betreffende het vrije verkeer van die gegevens en tot intrekking van Richtlijn 95/46/EG,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417FF890" w14:textId="4F586BE4" w:rsidR="00AF3349" w:rsidRPr="00B96A0F" w:rsidRDefault="00B96A0F" w:rsidP="005A0EE9">
      <w:pPr>
        <w:snapToGrid w:val="0"/>
        <w:spacing w:after="120" w:line="240" w:lineRule="auto"/>
        <w:jc w:val="both"/>
        <w:rPr>
          <w:rFonts w:eastAsia="Calibri" w:cstheme="minorHAnsi"/>
          <w:szCs w:val="22"/>
          <w:lang w:val="nl-NL"/>
        </w:rPr>
      </w:pPr>
      <w:r w:rsidRPr="009110B1">
        <w:rPr>
          <w:rFonts w:eastAsia="Calibri" w:cstheme="minorHAnsi"/>
          <w:szCs w:val="22"/>
          <w:lang w:val="nl-NL"/>
        </w:rPr>
        <w:t>De geselecteerde inschrijver en alle leden van het evaluatieteam moeten bij aanvang van de evaluatie een vertrouwelijkheidsovereenkomst ondertekenen.</w:t>
      </w:r>
      <w:r w:rsidRPr="00B96A0F">
        <w:rPr>
          <w:rFonts w:eastAsia="Calibri" w:cstheme="minorHAnsi"/>
          <w:szCs w:val="22"/>
          <w:lang w:val="nl-NL"/>
        </w:rPr>
        <w:t xml:space="preserve">  </w:t>
      </w:r>
    </w:p>
    <w:p w14:paraId="4067E601" w14:textId="77777777" w:rsidR="009875B8" w:rsidRPr="009875B8" w:rsidRDefault="009875B8" w:rsidP="00A02CF1">
      <w:pPr>
        <w:pStyle w:val="Vade-mecumtitre1"/>
        <w:numPr>
          <w:ilvl w:val="0"/>
          <w:numId w:val="0"/>
        </w:numPr>
        <w:ind w:left="432" w:hanging="432"/>
      </w:pPr>
      <w:bookmarkStart w:id="608" w:name="_Toc3886201"/>
      <w:bookmarkStart w:id="609" w:name="_Toc529700000"/>
      <w:bookmarkStart w:id="610" w:name="_Toc529700616"/>
      <w:bookmarkStart w:id="611" w:name="_Toc529747472"/>
      <w:bookmarkStart w:id="612" w:name="_Toc230716"/>
      <w:bookmarkStart w:id="613" w:name="_Toc230770"/>
      <w:bookmarkStart w:id="614" w:name="_Toc12079565"/>
      <w:bookmarkStart w:id="615" w:name="_Toc12862761"/>
      <w:bookmarkStart w:id="616" w:name="_Toc19591220"/>
      <w:bookmarkStart w:id="617" w:name="_Toc486514008"/>
      <w:bookmarkStart w:id="618" w:name="_Toc1985180"/>
      <w:bookmarkStart w:id="619" w:name="_Toc12453074"/>
      <w:bookmarkStart w:id="620" w:name="_Toc77719411"/>
      <w:bookmarkStart w:id="621" w:name="_Toc108509966"/>
      <w:bookmarkStart w:id="622" w:name="_Toc117601142"/>
      <w:bookmarkEnd w:id="561"/>
      <w:bookmarkEnd w:id="562"/>
      <w:bookmarkEnd w:id="563"/>
      <w:bookmarkEnd w:id="564"/>
      <w:bookmarkEnd w:id="565"/>
      <w:bookmarkEnd w:id="566"/>
      <w:bookmarkEnd w:id="567"/>
      <w:bookmarkEnd w:id="568"/>
      <w:bookmarkEnd w:id="569"/>
      <w:r w:rsidRPr="009875B8">
        <w:lastRenderedPageBreak/>
        <w:t>A19. Geschillen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CEF8A87" w14:textId="77777777" w:rsidR="009875B8" w:rsidRPr="009875B8" w:rsidRDefault="009875B8" w:rsidP="009875B8">
      <w:pPr>
        <w:tabs>
          <w:tab w:val="center" w:pos="4513"/>
          <w:tab w:val="right" w:pos="9026"/>
        </w:tabs>
        <w:spacing w:after="0" w:line="240" w:lineRule="auto"/>
        <w:jc w:val="both"/>
        <w:rPr>
          <w:szCs w:val="22"/>
          <w:lang w:val="nl-NL"/>
        </w:rPr>
      </w:pPr>
      <w:r w:rsidRPr="009875B8">
        <w:rPr>
          <w:szCs w:val="22"/>
          <w:lang w:val="nl-NL"/>
        </w:rPr>
        <w:t>Alle betwistingen met betrekking tot de uitvoering van deze opdracht worden uitsluitend beslecht voor de bevoegde rechtbanken van het gerechtelijk arrondissement Brussel. De voertaal is het Nederlands of het Frans.</w:t>
      </w:r>
    </w:p>
    <w:p w14:paraId="3CA258E6" w14:textId="77777777" w:rsidR="009875B8" w:rsidRPr="009875B8" w:rsidRDefault="009875B8" w:rsidP="009875B8">
      <w:pPr>
        <w:tabs>
          <w:tab w:val="center" w:pos="4513"/>
          <w:tab w:val="right" w:pos="9026"/>
        </w:tabs>
        <w:spacing w:after="0" w:line="240" w:lineRule="auto"/>
        <w:jc w:val="both"/>
        <w:rPr>
          <w:szCs w:val="22"/>
          <w:lang w:val="nl-NL"/>
        </w:rPr>
      </w:pPr>
    </w:p>
    <w:p w14:paraId="3B395323" w14:textId="6C9D3AA3" w:rsidR="009875B8" w:rsidRDefault="009875B8" w:rsidP="009875B8">
      <w:pPr>
        <w:snapToGrid w:val="0"/>
        <w:spacing w:after="120" w:line="240" w:lineRule="auto"/>
        <w:jc w:val="both"/>
        <w:rPr>
          <w:lang w:val="nl-NL"/>
        </w:rPr>
      </w:pPr>
      <w:r w:rsidRPr="009875B8">
        <w:rPr>
          <w:lang w:val="nl-NL"/>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bookmarkEnd w:id="570"/>
      <w:bookmarkEnd w:id="571"/>
      <w:bookmarkEnd w:id="572"/>
      <w:bookmarkEnd w:id="573"/>
      <w:bookmarkEnd w:id="574"/>
      <w:bookmarkEnd w:id="575"/>
      <w:bookmarkEnd w:id="576"/>
      <w:bookmarkEnd w:id="577"/>
      <w:bookmarkEnd w:id="578"/>
    </w:p>
    <w:p w14:paraId="66DF7F7D" w14:textId="68399E69" w:rsidR="00A02CF1" w:rsidRDefault="00A02CF1" w:rsidP="009875B8">
      <w:pPr>
        <w:snapToGrid w:val="0"/>
        <w:spacing w:after="120" w:line="240" w:lineRule="auto"/>
        <w:jc w:val="both"/>
        <w:rPr>
          <w:lang w:val="nl-NL"/>
        </w:rPr>
      </w:pPr>
    </w:p>
    <w:p w14:paraId="057F14F0" w14:textId="7057E584" w:rsidR="00745245" w:rsidRDefault="00745245" w:rsidP="009875B8">
      <w:pPr>
        <w:snapToGrid w:val="0"/>
        <w:spacing w:after="120" w:line="240" w:lineRule="auto"/>
        <w:jc w:val="both"/>
        <w:rPr>
          <w:lang w:val="nl-NL"/>
        </w:rPr>
      </w:pPr>
    </w:p>
    <w:p w14:paraId="770CDA0F" w14:textId="1AAC114A" w:rsidR="00730FB3" w:rsidRDefault="00730FB3" w:rsidP="009875B8">
      <w:pPr>
        <w:snapToGrid w:val="0"/>
        <w:spacing w:after="120" w:line="240" w:lineRule="auto"/>
        <w:jc w:val="both"/>
        <w:rPr>
          <w:lang w:val="nl-NL"/>
        </w:rPr>
      </w:pPr>
    </w:p>
    <w:p w14:paraId="56200585" w14:textId="25809DA7" w:rsidR="008166B8" w:rsidRDefault="008166B8" w:rsidP="009875B8">
      <w:pPr>
        <w:snapToGrid w:val="0"/>
        <w:spacing w:after="120" w:line="240" w:lineRule="auto"/>
        <w:jc w:val="both"/>
        <w:rPr>
          <w:lang w:val="nl-NL"/>
        </w:rPr>
      </w:pPr>
    </w:p>
    <w:p w14:paraId="522CDD71" w14:textId="1E3826B9" w:rsidR="008166B8" w:rsidRDefault="008166B8" w:rsidP="009875B8">
      <w:pPr>
        <w:snapToGrid w:val="0"/>
        <w:spacing w:after="120" w:line="240" w:lineRule="auto"/>
        <w:jc w:val="both"/>
        <w:rPr>
          <w:lang w:val="nl-NL"/>
        </w:rPr>
      </w:pPr>
    </w:p>
    <w:p w14:paraId="6B32458C" w14:textId="02A2EA7F" w:rsidR="008166B8" w:rsidRDefault="008166B8" w:rsidP="009875B8">
      <w:pPr>
        <w:snapToGrid w:val="0"/>
        <w:spacing w:after="120" w:line="240" w:lineRule="auto"/>
        <w:jc w:val="both"/>
        <w:rPr>
          <w:lang w:val="nl-NL"/>
        </w:rPr>
      </w:pPr>
    </w:p>
    <w:p w14:paraId="3F0ACD7F" w14:textId="1C7A664B" w:rsidR="008166B8" w:rsidRDefault="008166B8" w:rsidP="009875B8">
      <w:pPr>
        <w:snapToGrid w:val="0"/>
        <w:spacing w:after="120" w:line="240" w:lineRule="auto"/>
        <w:jc w:val="both"/>
        <w:rPr>
          <w:lang w:val="nl-NL"/>
        </w:rPr>
      </w:pPr>
    </w:p>
    <w:p w14:paraId="1EB31DF8" w14:textId="58917AF3" w:rsidR="008166B8" w:rsidRDefault="008166B8" w:rsidP="009875B8">
      <w:pPr>
        <w:snapToGrid w:val="0"/>
        <w:spacing w:after="120" w:line="240" w:lineRule="auto"/>
        <w:jc w:val="both"/>
        <w:rPr>
          <w:lang w:val="nl-NL"/>
        </w:rPr>
      </w:pPr>
    </w:p>
    <w:p w14:paraId="60269D88" w14:textId="447661C4" w:rsidR="008166B8" w:rsidRDefault="008166B8" w:rsidP="009875B8">
      <w:pPr>
        <w:snapToGrid w:val="0"/>
        <w:spacing w:after="120" w:line="240" w:lineRule="auto"/>
        <w:jc w:val="both"/>
        <w:rPr>
          <w:lang w:val="nl-NL"/>
        </w:rPr>
      </w:pPr>
    </w:p>
    <w:p w14:paraId="0C91839C" w14:textId="45729E43" w:rsidR="008166B8" w:rsidRDefault="008166B8" w:rsidP="009875B8">
      <w:pPr>
        <w:snapToGrid w:val="0"/>
        <w:spacing w:after="120" w:line="240" w:lineRule="auto"/>
        <w:jc w:val="both"/>
        <w:rPr>
          <w:lang w:val="nl-NL"/>
        </w:rPr>
      </w:pPr>
    </w:p>
    <w:p w14:paraId="592E38B8" w14:textId="5D42D684" w:rsidR="008166B8" w:rsidRDefault="008166B8" w:rsidP="009875B8">
      <w:pPr>
        <w:snapToGrid w:val="0"/>
        <w:spacing w:after="120" w:line="240" w:lineRule="auto"/>
        <w:jc w:val="both"/>
        <w:rPr>
          <w:lang w:val="nl-NL"/>
        </w:rPr>
      </w:pPr>
    </w:p>
    <w:p w14:paraId="682C6077" w14:textId="097D9F42" w:rsidR="008166B8" w:rsidRDefault="008166B8" w:rsidP="009875B8">
      <w:pPr>
        <w:snapToGrid w:val="0"/>
        <w:spacing w:after="120" w:line="240" w:lineRule="auto"/>
        <w:jc w:val="both"/>
        <w:rPr>
          <w:lang w:val="nl-NL"/>
        </w:rPr>
      </w:pPr>
    </w:p>
    <w:p w14:paraId="33535B47" w14:textId="1FE18464" w:rsidR="008166B8" w:rsidRDefault="008166B8" w:rsidP="009875B8">
      <w:pPr>
        <w:snapToGrid w:val="0"/>
        <w:spacing w:after="120" w:line="240" w:lineRule="auto"/>
        <w:jc w:val="both"/>
        <w:rPr>
          <w:lang w:val="nl-NL"/>
        </w:rPr>
      </w:pPr>
    </w:p>
    <w:p w14:paraId="29A0C2C0" w14:textId="175C1219" w:rsidR="008166B8" w:rsidRDefault="008166B8" w:rsidP="009875B8">
      <w:pPr>
        <w:snapToGrid w:val="0"/>
        <w:spacing w:after="120" w:line="240" w:lineRule="auto"/>
        <w:jc w:val="both"/>
        <w:rPr>
          <w:lang w:val="nl-NL"/>
        </w:rPr>
      </w:pPr>
    </w:p>
    <w:p w14:paraId="422F1476" w14:textId="2330C25E" w:rsidR="008166B8" w:rsidRDefault="008166B8" w:rsidP="009875B8">
      <w:pPr>
        <w:snapToGrid w:val="0"/>
        <w:spacing w:after="120" w:line="240" w:lineRule="auto"/>
        <w:jc w:val="both"/>
        <w:rPr>
          <w:lang w:val="nl-NL"/>
        </w:rPr>
      </w:pPr>
    </w:p>
    <w:p w14:paraId="209D5F46" w14:textId="505CD313" w:rsidR="008166B8" w:rsidRDefault="008166B8" w:rsidP="009875B8">
      <w:pPr>
        <w:snapToGrid w:val="0"/>
        <w:spacing w:after="120" w:line="240" w:lineRule="auto"/>
        <w:jc w:val="both"/>
        <w:rPr>
          <w:lang w:val="nl-NL"/>
        </w:rPr>
      </w:pPr>
    </w:p>
    <w:p w14:paraId="141A6728" w14:textId="53F4288C" w:rsidR="008166B8" w:rsidRDefault="008166B8" w:rsidP="009875B8">
      <w:pPr>
        <w:snapToGrid w:val="0"/>
        <w:spacing w:after="120" w:line="240" w:lineRule="auto"/>
        <w:jc w:val="both"/>
        <w:rPr>
          <w:lang w:val="nl-NL"/>
        </w:rPr>
      </w:pPr>
    </w:p>
    <w:p w14:paraId="58C4537B" w14:textId="7EC3809A" w:rsidR="008166B8" w:rsidRDefault="008166B8" w:rsidP="009875B8">
      <w:pPr>
        <w:snapToGrid w:val="0"/>
        <w:spacing w:after="120" w:line="240" w:lineRule="auto"/>
        <w:jc w:val="both"/>
        <w:rPr>
          <w:lang w:val="nl-NL"/>
        </w:rPr>
      </w:pPr>
    </w:p>
    <w:p w14:paraId="2D299BDE" w14:textId="304D5A4F" w:rsidR="008166B8" w:rsidRDefault="008166B8" w:rsidP="009875B8">
      <w:pPr>
        <w:snapToGrid w:val="0"/>
        <w:spacing w:after="120" w:line="240" w:lineRule="auto"/>
        <w:jc w:val="both"/>
        <w:rPr>
          <w:lang w:val="nl-NL"/>
        </w:rPr>
      </w:pPr>
    </w:p>
    <w:p w14:paraId="228E4731" w14:textId="474DE902" w:rsidR="008166B8" w:rsidRDefault="008166B8" w:rsidP="009875B8">
      <w:pPr>
        <w:snapToGrid w:val="0"/>
        <w:spacing w:after="120" w:line="240" w:lineRule="auto"/>
        <w:jc w:val="both"/>
        <w:rPr>
          <w:lang w:val="nl-NL"/>
        </w:rPr>
      </w:pPr>
    </w:p>
    <w:p w14:paraId="12F0D323" w14:textId="77777777" w:rsidR="008166B8" w:rsidRDefault="008166B8" w:rsidP="009875B8">
      <w:pPr>
        <w:snapToGrid w:val="0"/>
        <w:spacing w:after="120" w:line="240" w:lineRule="auto"/>
        <w:jc w:val="both"/>
        <w:rPr>
          <w:lang w:val="nl-NL"/>
        </w:rPr>
      </w:pPr>
    </w:p>
    <w:p w14:paraId="4BA90CBB" w14:textId="420DD911" w:rsidR="00730FB3" w:rsidRDefault="00730FB3" w:rsidP="009875B8">
      <w:pPr>
        <w:snapToGrid w:val="0"/>
        <w:spacing w:after="120" w:line="240" w:lineRule="auto"/>
        <w:jc w:val="both"/>
        <w:rPr>
          <w:lang w:val="nl-NL"/>
        </w:rPr>
      </w:pPr>
    </w:p>
    <w:p w14:paraId="0C8FFB0E" w14:textId="77777777" w:rsidR="00730FB3" w:rsidRDefault="00730FB3" w:rsidP="009875B8">
      <w:pPr>
        <w:snapToGrid w:val="0"/>
        <w:spacing w:after="120" w:line="240" w:lineRule="auto"/>
        <w:jc w:val="both"/>
        <w:rPr>
          <w:lang w:val="nl-NL"/>
        </w:rPr>
      </w:pPr>
    </w:p>
    <w:p w14:paraId="123C80AD" w14:textId="307DAE49" w:rsidR="00852C90" w:rsidRDefault="00852C90" w:rsidP="00852C90">
      <w:pPr>
        <w:pStyle w:val="Vade-mecumtitre1"/>
        <w:numPr>
          <w:ilvl w:val="0"/>
          <w:numId w:val="0"/>
        </w:numPr>
        <w:ind w:left="432" w:hanging="432"/>
        <w:rPr>
          <w:sz w:val="40"/>
          <w:szCs w:val="40"/>
        </w:rPr>
      </w:pPr>
      <w:bookmarkStart w:id="623" w:name="_Toc117601143"/>
      <w:r w:rsidRPr="00852C90">
        <w:rPr>
          <w:sz w:val="40"/>
          <w:szCs w:val="40"/>
        </w:rPr>
        <w:lastRenderedPageBreak/>
        <w:t>B. TECHNISCHE VOORSCHRIFTEN</w:t>
      </w:r>
      <w:bookmarkEnd w:id="623"/>
    </w:p>
    <w:p w14:paraId="6093E7B5" w14:textId="4F2CC1FF" w:rsidR="004936E3" w:rsidRPr="004936E3" w:rsidRDefault="004936E3" w:rsidP="004936E3">
      <w:pPr>
        <w:pStyle w:val="Vade-mecumtitre1"/>
        <w:numPr>
          <w:ilvl w:val="0"/>
          <w:numId w:val="0"/>
        </w:numPr>
        <w:ind w:left="432" w:hanging="432"/>
      </w:pPr>
      <w:bookmarkStart w:id="624" w:name="_Toc117601144"/>
      <w:r>
        <w:t>B1. Inl</w:t>
      </w:r>
      <w:r w:rsidR="002D4A59">
        <w:t>eiding</w:t>
      </w:r>
      <w:bookmarkEnd w:id="624"/>
    </w:p>
    <w:p w14:paraId="2FF8E0CA" w14:textId="0160DBF9" w:rsidR="00852C90" w:rsidRPr="004936E3" w:rsidRDefault="004936E3" w:rsidP="79A775EF">
      <w:pPr>
        <w:snapToGrid w:val="0"/>
        <w:spacing w:after="120" w:line="240" w:lineRule="auto"/>
        <w:jc w:val="both"/>
        <w:rPr>
          <w:lang w:val="nl-NL"/>
        </w:rPr>
      </w:pPr>
      <w:bookmarkStart w:id="625" w:name="_Toc450715815"/>
      <w:r w:rsidRPr="77A2FCF5">
        <w:rPr>
          <w:lang w:val="nl-NL"/>
        </w:rPr>
        <w:t xml:space="preserve">Dit deel bevat de referentietermen voor de evaluatie van de Belgische </w:t>
      </w:r>
      <w:r w:rsidR="002D4A59" w:rsidRPr="77A2FCF5">
        <w:rPr>
          <w:lang w:val="nl-NL"/>
        </w:rPr>
        <w:t>fragiliteitsbenadering</w:t>
      </w:r>
      <w:r w:rsidRPr="77A2FCF5">
        <w:rPr>
          <w:lang w:val="nl-NL"/>
        </w:rPr>
        <w:t xml:space="preserve"> zoals voorzien in de indicatieve programmering 2020-2022 van de Dienst Bijzondere Evaluatie (DBE). DBE heeft de opdracht de Belgische </w:t>
      </w:r>
      <w:r w:rsidR="002D4A59" w:rsidRPr="77A2FCF5">
        <w:rPr>
          <w:lang w:val="nl-NL"/>
        </w:rPr>
        <w:t>O</w:t>
      </w:r>
      <w:r w:rsidRPr="77A2FCF5">
        <w:rPr>
          <w:lang w:val="nl-NL"/>
        </w:rPr>
        <w:t>ntwikkelingssamenwerking te evalueren. Het is een externe evaluatiedienst, administratief geplaatst onder het gezag van de Voorzitter van het Directiecomité van de Federale Overheidsdienst Buitenlandse Zaken, Buitenlandse Handel en Ontwikkelingssamenwerking. De evaluaties in het kader van DBE hebben tot doel verslag uit te brengen over het gebruik van overheidsmiddelen, te leren van wat werkt en wat niet werkt, teneinde de Belgische</w:t>
      </w:r>
      <w:r w:rsidR="00796F42" w:rsidRPr="77A2FCF5">
        <w:rPr>
          <w:lang w:val="nl-NL"/>
        </w:rPr>
        <w:t xml:space="preserve"> O</w:t>
      </w:r>
      <w:r w:rsidRPr="77A2FCF5">
        <w:rPr>
          <w:lang w:val="nl-NL"/>
        </w:rPr>
        <w:t>ntwikkelingssamenwerking te verbeteren en de besluitvorming te ondersteunen.</w:t>
      </w:r>
    </w:p>
    <w:p w14:paraId="6A35D2A8" w14:textId="4EB0611D" w:rsidR="004936E3" w:rsidRDefault="004936E3" w:rsidP="004936E3">
      <w:pPr>
        <w:pStyle w:val="Vade-mecumtitre1"/>
        <w:numPr>
          <w:ilvl w:val="0"/>
          <w:numId w:val="0"/>
        </w:numPr>
        <w:ind w:left="432" w:hanging="432"/>
        <w:rPr>
          <w:lang w:val="en-US"/>
        </w:rPr>
      </w:pPr>
      <w:bookmarkStart w:id="626" w:name="_Toc117601145"/>
      <w:r w:rsidRPr="00796F42">
        <w:rPr>
          <w:lang w:val="en-US"/>
        </w:rPr>
        <w:t xml:space="preserve">B2. </w:t>
      </w:r>
      <w:r w:rsidR="00796F42" w:rsidRPr="00796F42">
        <w:rPr>
          <w:lang w:val="en-US"/>
        </w:rPr>
        <w:t>Institutionele</w:t>
      </w:r>
      <w:r w:rsidR="00796F42">
        <w:rPr>
          <w:lang w:val="en-US"/>
        </w:rPr>
        <w:t xml:space="preserve"> context</w:t>
      </w:r>
      <w:bookmarkEnd w:id="626"/>
    </w:p>
    <w:p w14:paraId="5F8A7EE2" w14:textId="3251A43D" w:rsidR="00226DDF" w:rsidRDefault="00226DDF">
      <w:pPr>
        <w:pStyle w:val="Vade-mecumtitre2"/>
      </w:pPr>
      <w:bookmarkStart w:id="627" w:name="_Toc117601146"/>
      <w:r w:rsidRPr="00226DDF">
        <w:t>B</w:t>
      </w:r>
      <w:r w:rsidR="56939966" w:rsidRPr="00226DDF">
        <w:t>2</w:t>
      </w:r>
      <w:r w:rsidRPr="00226DDF">
        <w:t>.1 Het in</w:t>
      </w:r>
      <w:r>
        <w:t>terna</w:t>
      </w:r>
      <w:r w:rsidR="003707F9">
        <w:t>tionale debat</w:t>
      </w:r>
      <w:r w:rsidR="00B82C2D">
        <w:rPr>
          <w:rStyle w:val="FootnoteReference"/>
        </w:rPr>
        <w:footnoteReference w:id="4"/>
      </w:r>
      <w:bookmarkEnd w:id="627"/>
    </w:p>
    <w:p w14:paraId="11DBD4C7" w14:textId="03E71EB0" w:rsidR="0044230C" w:rsidRDefault="0044230C" w:rsidP="0044230C">
      <w:pPr>
        <w:pStyle w:val="Vade-Mecum0"/>
        <w:spacing w:line="240" w:lineRule="auto"/>
        <w:jc w:val="both"/>
        <w:rPr>
          <w:lang w:val="nl-NL"/>
        </w:rPr>
      </w:pPr>
      <w:r w:rsidRPr="77A2FCF5">
        <w:rPr>
          <w:b/>
          <w:bCs/>
          <w:i/>
          <w:iCs/>
          <w:lang w:val="nl-NL"/>
        </w:rPr>
        <w:t>States of fragility.</w:t>
      </w:r>
      <w:r w:rsidRPr="0044230C">
        <w:rPr>
          <w:lang w:val="nl-NL"/>
        </w:rPr>
        <w:t xml:space="preserve"> In de afgelopen twee decennia is fragiliteit een belangrijk thema geworden binnen het domein van ontwikkelingssamenwerking. Sinds 2005 publiceert OESO (twee)jaarlijkse rapporten over trends en gegevens in verband met fragiele situaties. Het meest recente rapport (OESO, 2022)</w:t>
      </w:r>
      <w:r w:rsidR="00D33835">
        <w:rPr>
          <w:rStyle w:val="FootnoteReference"/>
          <w:lang w:val="nl-NL"/>
        </w:rPr>
        <w:footnoteReference w:id="5"/>
      </w:r>
      <w:r w:rsidRPr="0044230C">
        <w:rPr>
          <w:lang w:val="nl-NL"/>
        </w:rPr>
        <w:t xml:space="preserve"> classificeert 60 landen en gebieden als fragiel (tegenover 57 in 2020). Deze gebieden herbergen wereldwijd om en bij een kwart van de wereldbevolking en meer dan driekwart van de extreem armen. Enerzijds wordt fragiliteit gezien als een bron van lokale, regionale en mondiale instabiliteit. Anderzijds wordt fragiliteit gezien als een sterke belemmering voor het bereiken van de globale doelstellingen van de Agenda 2030 (Marley &amp; Desai, 2020). Geen enkel fragiel land of gebied ligt op schema voor het behalen van de Duurzame Ontwikkelingsdoelstellingen (SDG’s</w:t>
      </w:r>
      <w:r>
        <w:rPr>
          <w:lang w:val="nl-NL"/>
        </w:rPr>
        <w:t>)</w:t>
      </w:r>
      <w:r w:rsidRPr="0044230C">
        <w:rPr>
          <w:lang w:val="nl-NL"/>
        </w:rPr>
        <w:t xml:space="preserve"> rond honger, gezondheid en gendergelijkheid. Voor andere SDG's zijn de vooruitzichten eveneens somber, terwijl tegelijk de kloof in vooruitgang tussen fragiele en niet-fragiele contexten verder toeneemt. Dat geldt met name voor de 15 extreem fragiele contexten</w:t>
      </w:r>
      <w:r w:rsidR="00565C95">
        <w:rPr>
          <w:rStyle w:val="FootnoteReference"/>
          <w:lang w:val="nl-NL"/>
        </w:rPr>
        <w:footnoteReference w:id="6"/>
      </w:r>
      <w:r w:rsidRPr="0044230C">
        <w:rPr>
          <w:lang w:val="nl-NL"/>
        </w:rPr>
        <w:t xml:space="preserve"> die in het </w:t>
      </w:r>
      <w:r w:rsidRPr="77A2FCF5">
        <w:rPr>
          <w:i/>
          <w:iCs/>
          <w:lang w:val="nl-NL"/>
        </w:rPr>
        <w:t>States of Fragility</w:t>
      </w:r>
      <w:r w:rsidRPr="0044230C">
        <w:rPr>
          <w:lang w:val="nl-NL"/>
        </w:rPr>
        <w:t xml:space="preserve"> 2022-rapport worden geïdentificeerd (tegenover 13 in 2020), wat leidt tot grote bezorgdheid dat de landen met de grootste achterstand nog verder achterop dreigen te raken.</w:t>
      </w:r>
    </w:p>
    <w:p w14:paraId="44000A71" w14:textId="0D21FA22" w:rsidR="00A17D0E" w:rsidRPr="00A17D0E" w:rsidRDefault="00A17D0E" w:rsidP="00A17D0E">
      <w:pPr>
        <w:pStyle w:val="Vade-Mecum0"/>
        <w:spacing w:line="240" w:lineRule="auto"/>
        <w:jc w:val="both"/>
        <w:rPr>
          <w:lang w:val="nl-NL"/>
        </w:rPr>
      </w:pPr>
      <w:r w:rsidRPr="00B05527">
        <w:rPr>
          <w:b/>
          <w:bCs/>
          <w:lang w:val="nl-NL"/>
        </w:rPr>
        <w:t>Een meerdimensionaal concept.</w:t>
      </w:r>
      <w:r w:rsidRPr="00A17D0E">
        <w:rPr>
          <w:lang w:val="nl-NL"/>
        </w:rPr>
        <w:t xml:space="preserve"> Aanvankelijk werd fragiliteit vooral geassocieerd met het onvermogen of de onwil van een staat om zijn burgers veiligheid en andere essentiële diensten te verlenen of organiseren. Zoals bijvoorbeeld ook in de wet van 2013 betreffende de Belgische Ontwikkelingssamenwerking: “de toestand van een Staat waarin de regering en de overheidsinstellingen niet de middelen en/of de politieke wil hebben om de veiligheid en de bescherming van de burgers te verzekeren, om de publieke zaken efficiënt te beheren en om te strijden tegen armoede onder de bevolking”. Nadien werden ook andere dimensies toegevoegd. Binnen het huidige debat wordt fragiliteit ontleed volgens economische, </w:t>
      </w:r>
      <w:r w:rsidRPr="00A17D0E">
        <w:rPr>
          <w:lang w:val="nl-NL"/>
        </w:rPr>
        <w:lastRenderedPageBreak/>
        <w:t xml:space="preserve">leefmilieu-, politieke, veiligheids- en maatschappelijke dimensies. Met het groeiende besef dat ook menselijk kapitaal een wezenlijke bijdrage kan leveren aan het begrip en de aanpak van fragiele situaties, werd menselijk kapitaal als een nieuwe, zesde dimensie toegevoegd in het rapport </w:t>
      </w:r>
      <w:r w:rsidRPr="007A7221">
        <w:rPr>
          <w:i/>
          <w:iCs/>
          <w:lang w:val="nl-NL"/>
        </w:rPr>
        <w:t>States of Fragility</w:t>
      </w:r>
      <w:r w:rsidRPr="00A17D0E">
        <w:rPr>
          <w:lang w:val="nl-NL"/>
        </w:rPr>
        <w:t xml:space="preserve"> 2022 van de OESO. </w:t>
      </w:r>
    </w:p>
    <w:p w14:paraId="5071E50F" w14:textId="5E9BEED5" w:rsidR="00A17D0E" w:rsidRDefault="00A17D0E" w:rsidP="00A17D0E">
      <w:pPr>
        <w:pStyle w:val="Vade-Mecum0"/>
        <w:spacing w:line="240" w:lineRule="auto"/>
        <w:jc w:val="both"/>
        <w:rPr>
          <w:lang w:val="nl-NL"/>
        </w:rPr>
      </w:pPr>
      <w:r w:rsidRPr="00565C95">
        <w:rPr>
          <w:b/>
          <w:bCs/>
          <w:lang w:val="nl-NL"/>
        </w:rPr>
        <w:t>Een dynamisch concept.</w:t>
      </w:r>
      <w:r w:rsidRPr="00A17D0E">
        <w:rPr>
          <w:lang w:val="nl-NL"/>
        </w:rPr>
        <w:t xml:space="preserve"> Er heeft niet alleen een verschuiving plaatsgevonden van één naar meerdere dimensies, er is ook een toenemend besef dat fragiliteit geen statische realiteit is. Twee elementen zijn in dit verband van belang. Het eerste element is dat fragiliteit evenzeer afhangt van risico's als van de in een bepaalde situatie aanwezige weerbaarheid. Momenteel definieert de OESO fragiliteit als "de combinatie van blootstelling aan risico's en onvoldoende vermogen van de staat, systemen en/of gemeenschappen om die risico's te beheren, te absorberen of te matigen" (OESO, </w:t>
      </w:r>
      <w:r w:rsidRPr="007A7221">
        <w:rPr>
          <w:i/>
          <w:iCs/>
          <w:lang w:val="nl-NL"/>
        </w:rPr>
        <w:t>States of Fragility</w:t>
      </w:r>
      <w:r w:rsidRPr="00A17D0E">
        <w:rPr>
          <w:lang w:val="nl-NL"/>
        </w:rPr>
        <w:t xml:space="preserve"> 2020, p. 17). Het tweede element is dat fragiliteit varieert in intensiteit. De fragiele situaties van vandaag worden niet langer als ‘gefaald’ of ‘falend’ aanzien. Evenmin delen zij het binaire karakter van een eerste generatie fragiele situaties. Tot 2014 categoriseerde de OESO situaties als ofwel fragiel ofwel niet-fragiel. Tegenwoordig bewegen ze binnen een spectrum met fragiliteitsscores die variëren van mild tot extreem fragiel.</w:t>
      </w:r>
    </w:p>
    <w:p w14:paraId="481DDA44" w14:textId="2D04EE86" w:rsidR="00351AD4" w:rsidRPr="009110B1" w:rsidRDefault="00351AD4">
      <w:pPr>
        <w:pStyle w:val="Vade-mecumtitre2"/>
        <w:rPr>
          <w:lang w:val="nl-NL"/>
        </w:rPr>
      </w:pPr>
      <w:bookmarkStart w:id="628" w:name="_Toc117601147"/>
      <w:r w:rsidRPr="009110B1">
        <w:rPr>
          <w:lang w:val="nl-NL"/>
        </w:rPr>
        <w:t>B</w:t>
      </w:r>
      <w:r w:rsidR="3F602CA8" w:rsidRPr="009110B1">
        <w:rPr>
          <w:lang w:val="nl-NL"/>
        </w:rPr>
        <w:t>2</w:t>
      </w:r>
      <w:r w:rsidRPr="009110B1">
        <w:rPr>
          <w:lang w:val="nl-NL"/>
        </w:rPr>
        <w:t>.2 Van concept tot operationalisering</w:t>
      </w:r>
      <w:bookmarkEnd w:id="628"/>
    </w:p>
    <w:p w14:paraId="1F264F00" w14:textId="3C4B33DA" w:rsidR="00967013" w:rsidRDefault="00351AD4" w:rsidP="00351AD4">
      <w:pPr>
        <w:pStyle w:val="Vade-Mecum0"/>
        <w:spacing w:line="240" w:lineRule="auto"/>
        <w:jc w:val="both"/>
        <w:rPr>
          <w:lang w:val="nl-NL"/>
        </w:rPr>
      </w:pPr>
      <w:r w:rsidRPr="00590B3A">
        <w:rPr>
          <w:b/>
          <w:bCs/>
          <w:lang w:val="nl-NL"/>
        </w:rPr>
        <w:t>Principes voor interventie in fragiele situaties.</w:t>
      </w:r>
      <w:r w:rsidRPr="00351AD4">
        <w:rPr>
          <w:lang w:val="nl-NL"/>
        </w:rPr>
        <w:t xml:space="preserve"> Het feit dat fragiliteit sterk wordt geassocieerd met zowel lokale, regionale en mondiale instabiliteit als achterstand in het realiseren van de Agenda 2030, heeft internationale actoren actief in fragiele situaties ertoe gebracht hun wijze van interventie er onder de loep te nemen en bij te sturen. Met name de OESO-DAC </w:t>
      </w:r>
      <w:r w:rsidRPr="002C1E1C">
        <w:rPr>
          <w:i/>
          <w:iCs/>
          <w:lang w:val="nl-NL"/>
        </w:rPr>
        <w:t xml:space="preserve">Principles for Good International Engagement in Fragile States </w:t>
      </w:r>
      <w:r w:rsidRPr="00351AD4">
        <w:rPr>
          <w:lang w:val="nl-NL"/>
        </w:rPr>
        <w:t>uit 2007 gelden daarbij nog steeds als een krachtig richtsnoer. Concreet gaat het om de volgende 10 principes: (i) neem context als uitgangspunt; (ii) berokken geen schade; (iii) stel de versterking van de staat centraal; (iv) geef prioriteit aan preventie; (v) koppel politieke, veiligheids- en ontwikkelingsdoelstellingen; (vi) bevorder non-discriminatie en streef naar inclusieve, stabiele samenlevingen; (vii) stem af op lokale prioriteiten; (viii) voorzie in coördinatiemechanismen tussen internationale actoren; (ix) handel snel, maar blijf voldoende lang en flexibel geëngageerd; en (x) voorkom uitsluiting.</w:t>
      </w:r>
    </w:p>
    <w:p w14:paraId="06A171C4" w14:textId="77777777" w:rsidR="002C1E1C" w:rsidRPr="002C1E1C" w:rsidRDefault="002C1E1C" w:rsidP="002C1E1C">
      <w:pPr>
        <w:tabs>
          <w:tab w:val="left" w:pos="5340"/>
        </w:tabs>
        <w:snapToGrid w:val="0"/>
        <w:spacing w:after="240" w:line="240" w:lineRule="auto"/>
        <w:jc w:val="both"/>
        <w:rPr>
          <w:rFonts w:eastAsia="Calibri" w:cs="Arial"/>
          <w:b/>
          <w:bCs/>
          <w:szCs w:val="22"/>
          <w:lang w:val="nl-BE"/>
        </w:rPr>
      </w:pPr>
      <w:r w:rsidRPr="002C1E1C">
        <w:rPr>
          <w:rFonts w:eastAsia="Calibri" w:cs="Arial"/>
          <w:b/>
          <w:bCs/>
          <w:szCs w:val="22"/>
          <w:lang w:val="nl-BE"/>
        </w:rPr>
        <w:t>De New Deal.</w:t>
      </w:r>
      <w:r w:rsidRPr="002C1E1C">
        <w:rPr>
          <w:rFonts w:eastAsia="Calibri" w:cs="Arial"/>
          <w:szCs w:val="22"/>
          <w:lang w:val="nl-BE"/>
        </w:rPr>
        <w:t xml:space="preserve"> Een ander belangrijk politiek ankerpunt voor interventie in fragiele situaties was de </w:t>
      </w:r>
      <w:r w:rsidRPr="002C1E1C">
        <w:rPr>
          <w:rFonts w:eastAsia="Calibri" w:cs="Arial"/>
          <w:i/>
          <w:iCs/>
          <w:szCs w:val="22"/>
          <w:lang w:val="nl-BE"/>
        </w:rPr>
        <w:t>New Deal for Engagement in Fragile States</w:t>
      </w:r>
      <w:r w:rsidRPr="002C1E1C">
        <w:rPr>
          <w:rFonts w:eastAsia="Calibri" w:cs="Arial"/>
          <w:szCs w:val="22"/>
          <w:lang w:val="nl-BE"/>
        </w:rPr>
        <w:t xml:space="preserve">. Deze New Deal, die niet enkel bilaterale donoren verbond, maar ook ontvangende fragiele landen en internationale organisaties (verenigd in </w:t>
      </w:r>
      <w:r w:rsidRPr="002C1E1C">
        <w:rPr>
          <w:rFonts w:eastAsia="Calibri" w:cs="Arial"/>
          <w:i/>
          <w:iCs/>
          <w:szCs w:val="22"/>
          <w:lang w:val="nl-BE"/>
        </w:rPr>
        <w:t>the International Dialogue on Peacebuilding and Statebuilding</w:t>
      </w:r>
      <w:r w:rsidRPr="002C1E1C">
        <w:rPr>
          <w:rFonts w:eastAsia="Calibri" w:cs="Arial"/>
          <w:szCs w:val="22"/>
          <w:lang w:val="nl-BE"/>
        </w:rPr>
        <w:t xml:space="preserve">), kwam tot stand in de marge van het </w:t>
      </w:r>
      <w:r w:rsidRPr="002C1E1C">
        <w:rPr>
          <w:rFonts w:eastAsia="Calibri" w:cs="Arial"/>
          <w:i/>
          <w:iCs/>
          <w:szCs w:val="22"/>
          <w:lang w:val="nl-BE"/>
        </w:rPr>
        <w:t>High Level Forum</w:t>
      </w:r>
      <w:r w:rsidRPr="002C1E1C">
        <w:rPr>
          <w:rFonts w:eastAsia="Calibri" w:cs="Arial"/>
          <w:szCs w:val="22"/>
          <w:lang w:val="nl-BE"/>
        </w:rPr>
        <w:t xml:space="preserve"> in Busan in 2011. In de geest van de Verklaring van Parijs (2005) legde de New Deal een sterke focus op resultaatgerichtheid en nationale toe-eigening. Er werden ook expliciete doelstellingen gesteld, gericht op zowel vredesopbouw als versterking van de staat. Een belangrijke doelstelling hierbij was het nastreven van legitimiteit van door de staat aangestuurde politieke processen. Daarmee werd, naast staatsgezag en staatscapaciteit, een derde </w:t>
      </w:r>
      <w:r w:rsidRPr="002C1E1C">
        <w:rPr>
          <w:rFonts w:ascii="Times New Roman" w:eastAsia="Calibri" w:hAnsi="Times New Roman" w:cs="Times New Roman"/>
          <w:szCs w:val="22"/>
          <w:lang w:val="nl-BE"/>
        </w:rPr>
        <w:t>‒</w:t>
      </w:r>
      <w:r w:rsidRPr="002C1E1C">
        <w:rPr>
          <w:rFonts w:eastAsia="Calibri" w:cs="Arial"/>
          <w:szCs w:val="22"/>
          <w:lang w:val="nl-BE"/>
        </w:rPr>
        <w:t xml:space="preserve"> en vaak verwaarloosde </w:t>
      </w:r>
      <w:r w:rsidRPr="002C1E1C">
        <w:rPr>
          <w:rFonts w:ascii="Times New Roman" w:eastAsia="Calibri" w:hAnsi="Times New Roman" w:cs="Times New Roman"/>
          <w:szCs w:val="22"/>
          <w:lang w:val="nl-BE"/>
        </w:rPr>
        <w:t>‒</w:t>
      </w:r>
      <w:r w:rsidRPr="002C1E1C">
        <w:rPr>
          <w:rFonts w:eastAsia="Calibri" w:cs="Arial"/>
          <w:szCs w:val="22"/>
          <w:lang w:val="nl-BE"/>
        </w:rPr>
        <w:t xml:space="preserve"> dimensie van fragiliteit op het voorplan geplaatst. Ook verwijst de New Deal naar het risicogehalte van interventies in fragiele situaties, maar benadrukt tezelfdertijd dat het risico gekoppeld aan non-interventie mogelijk nog groter is.</w:t>
      </w:r>
    </w:p>
    <w:p w14:paraId="56081E7B" w14:textId="77777777" w:rsidR="00F76D7F" w:rsidRPr="00F76D7F" w:rsidRDefault="00F76D7F" w:rsidP="00F76D7F">
      <w:pPr>
        <w:tabs>
          <w:tab w:val="left" w:pos="5340"/>
        </w:tabs>
        <w:snapToGrid w:val="0"/>
        <w:spacing w:after="240" w:line="240" w:lineRule="auto"/>
        <w:jc w:val="both"/>
        <w:rPr>
          <w:rFonts w:eastAsia="Calibri" w:cs="Arial"/>
          <w:szCs w:val="22"/>
          <w:lang w:val="nl-BE"/>
        </w:rPr>
      </w:pPr>
      <w:r w:rsidRPr="00F76D7F">
        <w:rPr>
          <w:rFonts w:eastAsia="Calibri" w:cs="Arial"/>
          <w:b/>
          <w:bCs/>
          <w:szCs w:val="22"/>
          <w:lang w:val="nl-BE"/>
        </w:rPr>
        <w:t xml:space="preserve">De nexus humanitaire hulp-ontwikkeling-vrede. </w:t>
      </w:r>
      <w:r w:rsidRPr="00F76D7F">
        <w:rPr>
          <w:rFonts w:eastAsia="Calibri" w:cs="Arial"/>
          <w:szCs w:val="22"/>
          <w:lang w:val="nl-BE"/>
        </w:rPr>
        <w:t>In 2020</w:t>
      </w:r>
      <w:r w:rsidRPr="00F76D7F">
        <w:rPr>
          <w:rFonts w:eastAsia="Calibri" w:cs="Arial"/>
          <w:b/>
          <w:bCs/>
          <w:szCs w:val="22"/>
          <w:lang w:val="nl-BE"/>
        </w:rPr>
        <w:t xml:space="preserve"> </w:t>
      </w:r>
      <w:r w:rsidRPr="00F76D7F">
        <w:rPr>
          <w:rFonts w:eastAsia="Calibri" w:cs="Arial"/>
          <w:szCs w:val="22"/>
          <w:lang w:val="nl-BE"/>
        </w:rPr>
        <w:t xml:space="preserve">ging van alle ODA van DAC-leden in fragiele landen 25% naar humanitaire hulp, 63 % naar ontwikkelingssamenwerking en 12 % naar vrede (OESO, </w:t>
      </w:r>
      <w:r w:rsidRPr="00F76D7F">
        <w:rPr>
          <w:rFonts w:eastAsia="Calibri" w:cs="Arial"/>
          <w:i/>
          <w:iCs/>
          <w:szCs w:val="22"/>
          <w:lang w:val="nl-BE"/>
        </w:rPr>
        <w:t xml:space="preserve">States of Fragility </w:t>
      </w:r>
      <w:r w:rsidRPr="00F76D7F">
        <w:rPr>
          <w:rFonts w:eastAsia="Calibri" w:cs="Arial"/>
          <w:szCs w:val="22"/>
          <w:lang w:val="nl-BE"/>
        </w:rPr>
        <w:t xml:space="preserve">2022). Op welke wijze hulpdoeltreffendheid kan worden verhoogd in fragiele situaties blijft een moeilijk vraagstuk. Vooral de aandacht voor doeltreffende collectieve internationale actie in fragiele en door conflict getroffen situaties waar humanitaire hulp, ontwikkelingssamenwerking en vredesopbouw overlappen, is de afgelopen jaren sterk toegenomen. </w:t>
      </w:r>
      <w:r w:rsidRPr="00F76D7F">
        <w:rPr>
          <w:rFonts w:eastAsia="Calibri" w:cs="Arial"/>
          <w:szCs w:val="22"/>
        </w:rPr>
        <w:t xml:space="preserve">In 2019 werd de OESO-DAC Recommendation on the Humanitarian-Development-Peace Nexus aangenomen. </w:t>
      </w:r>
      <w:r w:rsidRPr="00F76D7F">
        <w:rPr>
          <w:rFonts w:eastAsia="Calibri" w:cs="Arial"/>
          <w:szCs w:val="22"/>
          <w:lang w:val="nl-BE"/>
        </w:rPr>
        <w:t xml:space="preserve">Deze aanbeveling, die ontstond op </w:t>
      </w:r>
      <w:r w:rsidRPr="00F76D7F">
        <w:rPr>
          <w:rFonts w:eastAsia="Calibri" w:cs="Arial"/>
          <w:szCs w:val="22"/>
          <w:lang w:val="nl-BE"/>
        </w:rPr>
        <w:lastRenderedPageBreak/>
        <w:t xml:space="preserve">aansturen van het </w:t>
      </w:r>
      <w:r w:rsidRPr="00F76D7F">
        <w:rPr>
          <w:rFonts w:eastAsia="Calibri" w:cs="Arial"/>
          <w:i/>
          <w:iCs/>
          <w:szCs w:val="22"/>
          <w:lang w:val="nl-BE"/>
        </w:rPr>
        <w:t>International Network on Conflict and Fragility</w:t>
      </w:r>
      <w:r w:rsidRPr="00F76D7F">
        <w:rPr>
          <w:rFonts w:eastAsia="Calibri" w:cs="Arial"/>
          <w:szCs w:val="22"/>
          <w:lang w:val="nl-BE"/>
        </w:rPr>
        <w:t xml:space="preserve"> (INCAF) en tegenwoordig ruimere operationele sturing krijgt binnen de ‘</w:t>
      </w:r>
      <w:r w:rsidRPr="00F76D7F">
        <w:rPr>
          <w:rFonts w:eastAsia="Calibri" w:cs="Arial"/>
          <w:i/>
          <w:iCs/>
          <w:szCs w:val="22"/>
          <w:lang w:val="nl-BE"/>
        </w:rPr>
        <w:t>DAC-UN Dialogue on implementing the DAC Recommendation</w:t>
      </w:r>
      <w:r w:rsidRPr="00F76D7F">
        <w:rPr>
          <w:rFonts w:eastAsia="Calibri" w:cs="Arial"/>
          <w:szCs w:val="22"/>
          <w:lang w:val="nl-BE"/>
        </w:rPr>
        <w:t>’, roept actoren actief in de drie verschillende domeinen op tot een versterkte beleids- en operationele coherentie. Een recente voortgangsevaluatie wijst op positieve wijzigingen in organisatiementaliteit en -praktijken, maar duidt ook op belangrijke knelpunten. Van de drie pijlers blijkt vooral de vredespijler moeilijk te integreren. Het ontbreekt daarbij onder meer aan voldoende inzet van politiek engagement en diplomatieke instrumenten. Verder veronderstelt de kern van de nexus – versterkte coherentie en complementariteit – naast gezamenlijke analyse en programmering ook het vooropstellen van waarlijk collectieve outcomes. Ook is er onvoldoende aandacht voor het ‘localiseren’ van de nexusaanpak en voor de koppeling aan cruciale dimensies zoals gendergelijkheid en klimaatverandering. Tot slot is er nood aan meer ‘nexus-geletterdheid’ onder de diverse betrokken actoren.</w:t>
      </w:r>
    </w:p>
    <w:p w14:paraId="6D00B078" w14:textId="67D190D7" w:rsidR="0041508C" w:rsidRPr="0041508C" w:rsidRDefault="0041508C">
      <w:pPr>
        <w:pStyle w:val="Vade-mecumtitre2"/>
      </w:pPr>
      <w:bookmarkStart w:id="629" w:name="_Toc117601148"/>
      <w:r>
        <w:t>B</w:t>
      </w:r>
      <w:r w:rsidR="019C2FF2">
        <w:t>2</w:t>
      </w:r>
      <w:r>
        <w:t>.3 De Belgische fragiliteitsbenadering</w:t>
      </w:r>
      <w:bookmarkEnd w:id="629"/>
    </w:p>
    <w:p w14:paraId="4E7EDC83" w14:textId="4C095CA7" w:rsidR="0041508C" w:rsidRPr="0041508C" w:rsidRDefault="0041508C" w:rsidP="0041508C">
      <w:pPr>
        <w:pStyle w:val="Vade-Mecum0"/>
        <w:spacing w:line="240" w:lineRule="auto"/>
        <w:jc w:val="both"/>
        <w:rPr>
          <w:lang w:val="nl-BE"/>
        </w:rPr>
      </w:pPr>
      <w:r w:rsidRPr="79A775EF">
        <w:rPr>
          <w:b/>
          <w:bCs/>
          <w:lang w:val="nl-BE"/>
        </w:rPr>
        <w:t>Beleid en strategie.</w:t>
      </w:r>
      <w:r w:rsidRPr="79A775EF">
        <w:rPr>
          <w:lang w:val="nl-BE"/>
        </w:rPr>
        <w:t xml:space="preserve"> De Wet van 2013 betreffende de Belgische Ontwikkelingssamenwerking legt fragiliteit vast als een van de criteria om de partnerlanden van de gouvernementele samenwerking te bepalen. In hetzelfde jaar verscheen de Strategienota over Fragiele Situaties. De doelstelling geformuleerd in deze strategienota luidt als volgt: “[d]e Belgische samenwerking draagt bij tot de opbouw van een efficiënte, legitieme weerbare staat, tot de versterking van de staat (</w:t>
      </w:r>
      <w:r w:rsidRPr="79A775EF">
        <w:rPr>
          <w:i/>
          <w:iCs/>
          <w:lang w:val="nl-BE"/>
        </w:rPr>
        <w:t>Statebuilding</w:t>
      </w:r>
      <w:r w:rsidRPr="79A775EF">
        <w:rPr>
          <w:lang w:val="nl-BE"/>
        </w:rPr>
        <w:t xml:space="preserve">) en van de bevolking in de partnerlanden die zich in een fragiele situatie bevinden en tot de versterking van de relaties tussen de overheidsinstanties en de bevolking, met andere woorden tot de versterking van de legitimiteit van de staat”. De hoofdleidraad van de nota wordt gevormd door het internationale kader rond fragiliteit. Zowel verwachte langetermijndoelen van de Belgische fragiliteitsbenadering als richtbeginselen volgen uit de </w:t>
      </w:r>
      <w:r w:rsidR="5793CB01" w:rsidRPr="79A775EF">
        <w:rPr>
          <w:lang w:val="nl-BE"/>
        </w:rPr>
        <w:t>hogergenoemde</w:t>
      </w:r>
      <w:r w:rsidRPr="79A775EF">
        <w:rPr>
          <w:lang w:val="nl-BE"/>
        </w:rPr>
        <w:t xml:space="preserve"> New Deal en de OESO-DAC </w:t>
      </w:r>
      <w:r w:rsidRPr="79A775EF">
        <w:rPr>
          <w:i/>
          <w:iCs/>
          <w:lang w:val="nl-BE"/>
        </w:rPr>
        <w:t xml:space="preserve">Principles for Good International Engagement in Fragile States. </w:t>
      </w:r>
      <w:r w:rsidRPr="79A775EF">
        <w:rPr>
          <w:lang w:val="nl-BE"/>
        </w:rPr>
        <w:t>Verder legt de nota Belgische accenten, met onder meer aandacht voor gendergelijkheid, transitie van humanitaire hulp naar ontwikkeling, democratisch bestuur en rationaliteit van de hulparchitectuur. Belangrijk ook is dat de nota nadrukkelijk aangeeft dat de fragiliteitsbenadering een zaak is van alle hulpkanalen, en dus verder reikt dan louter het gouvernementele domein.</w:t>
      </w:r>
    </w:p>
    <w:p w14:paraId="56FDAC9F" w14:textId="2C0D0779" w:rsidR="0098471A" w:rsidRPr="0098471A" w:rsidRDefault="0098471A" w:rsidP="79A775EF">
      <w:pPr>
        <w:pStyle w:val="Vade-Mecum0"/>
        <w:spacing w:line="240" w:lineRule="auto"/>
        <w:jc w:val="both"/>
        <w:rPr>
          <w:lang w:val="nl-BE"/>
        </w:rPr>
      </w:pPr>
      <w:r w:rsidRPr="0098471A">
        <w:rPr>
          <w:b/>
          <w:bCs/>
          <w:lang w:val="nl-BE"/>
        </w:rPr>
        <w:t>Uitwerking.</w:t>
      </w:r>
      <w:r w:rsidRPr="0098471A">
        <w:rPr>
          <w:lang w:val="nl-BE"/>
        </w:rPr>
        <w:t xml:space="preserve"> De Belgische fragiliteitsbenadering werd vanaf 2015 verder uitgewerkt en verfijnd. Dat gebeurde hoofdzakelijk via twee wegen: beleidsondersteunend onderzoek en deelname aan de werkzaamheden van INCAF</w:t>
      </w:r>
      <w:r w:rsidRPr="0098471A">
        <w:rPr>
          <w:vertAlign w:val="superscript"/>
          <w:lang w:val="nl-BE"/>
        </w:rPr>
        <w:footnoteReference w:id="7"/>
      </w:r>
      <w:r w:rsidRPr="0098471A">
        <w:rPr>
          <w:lang w:val="nl-BE"/>
        </w:rPr>
        <w:t xml:space="preserve">. Tussen 2015 en 2017 voerden academici participatief onderzoek, zowel in België als op het terrein en over de verschillende kanalen van de Belgische Ontwikkelingssamenwerking heen, rond de uitwerking en concrete toepassing van de fragiliteitsbenadering. Dat leidde onder meer tot een </w:t>
      </w:r>
      <w:r w:rsidRPr="79A775EF">
        <w:rPr>
          <w:i/>
          <w:iCs/>
          <w:lang w:val="nl-BE"/>
        </w:rPr>
        <w:t>Guidance on fragility</w:t>
      </w:r>
      <w:r w:rsidRPr="0098471A">
        <w:rPr>
          <w:lang w:val="nl-BE"/>
        </w:rPr>
        <w:t xml:space="preserve"> (2017), een </w:t>
      </w:r>
      <w:r w:rsidRPr="79A775EF">
        <w:rPr>
          <w:i/>
          <w:iCs/>
          <w:lang w:val="nl-BE"/>
        </w:rPr>
        <w:t>Roadmap for a comprehensive approach for Belgian development policy</w:t>
      </w:r>
      <w:r w:rsidRPr="0098471A">
        <w:rPr>
          <w:lang w:val="nl-BE"/>
        </w:rPr>
        <w:t xml:space="preserve"> (2018) en het instrument FRAME (Fragility and Resilience Assessment and Management Exercise), dat risicoanalyse in fragiele partnerlanden standaardiseert volgens de vijf OESO-DAC fragiliteitsdimensies. Naast dit beleidsondersteunend onderzoek nam België ook actief deel aan de beleidssturende en sensibiliserende activiteiten van INCAF. Dat gebeurt de afgelopen jaren vanuit de nieuw opgerichte dienst D5.2 (Transitie naar ontwikkeling en goed bestuur), die vanuit een analyse van de grondoorzaken van fragiliteit passende antwoorden tracht te bieden in de context van de Belgische Ontwikkelingssamenwerking. Deze antwoorden schrijven zich nadrukkelijk in de hoger besproken nexusbenadering, die op Belgisch pangouvernementeel niveau in 2017 een beleidsmatige vertaling kreeg in de vorm van een strategienota  </w:t>
      </w:r>
      <w:r w:rsidRPr="79A775EF">
        <w:rPr>
          <w:i/>
          <w:iCs/>
          <w:lang w:val="nl-BE"/>
        </w:rPr>
        <w:t>comprehensive approach</w:t>
      </w:r>
      <w:r w:rsidRPr="0098471A">
        <w:rPr>
          <w:lang w:val="nl-BE"/>
        </w:rPr>
        <w:t xml:space="preserve">. In navolging van deze strategienota werden verschillende interdepartementale taskforces </w:t>
      </w:r>
      <w:r w:rsidRPr="0098471A">
        <w:rPr>
          <w:lang w:val="nl-BE"/>
        </w:rPr>
        <w:lastRenderedPageBreak/>
        <w:t>opgericht, waaronder voor de Sahel regio en de regio van de Grote Meren.</w:t>
      </w:r>
      <w:r w:rsidR="7AFF0136" w:rsidRPr="0098471A">
        <w:rPr>
          <w:lang w:val="nl-BE"/>
        </w:rPr>
        <w:t xml:space="preserve"> In </w:t>
      </w:r>
      <w:r w:rsidR="7AFF0136" w:rsidRPr="79A775EF">
        <w:rPr>
          <w:lang w:val="nl-BE"/>
        </w:rPr>
        <w:t>2022 startte DGD met een nieuw policy support programma dat zich ook richt op fragiliteit.</w:t>
      </w:r>
    </w:p>
    <w:p w14:paraId="534716BD" w14:textId="77777777" w:rsidR="0098471A" w:rsidRPr="0098471A" w:rsidRDefault="0098471A" w:rsidP="00520853">
      <w:pPr>
        <w:pStyle w:val="Vade-Mecum0"/>
        <w:spacing w:line="240" w:lineRule="auto"/>
        <w:jc w:val="both"/>
        <w:rPr>
          <w:lang w:val="nl-BE"/>
        </w:rPr>
      </w:pPr>
      <w:r w:rsidRPr="0098471A">
        <w:rPr>
          <w:lang w:val="nl-BE"/>
        </w:rPr>
        <w:t>Naast INCAF volgt D5.2 ook andere internationale actoren die fragiliteit een centrale strategische plaats toekennen, waaronder de Europese Unie, de Wereldbank en de Afrikaanse Ontwikkelingsbank.</w:t>
      </w:r>
    </w:p>
    <w:p w14:paraId="5DC24123" w14:textId="0D28806E" w:rsidR="0098471A" w:rsidRPr="0098471A" w:rsidRDefault="0098471A" w:rsidP="00520853">
      <w:pPr>
        <w:pStyle w:val="Vade-Mecum0"/>
        <w:spacing w:line="240" w:lineRule="auto"/>
        <w:jc w:val="both"/>
        <w:rPr>
          <w:lang w:val="nl-BE"/>
        </w:rPr>
      </w:pPr>
      <w:r w:rsidRPr="79A775EF">
        <w:rPr>
          <w:lang w:val="nl-BE"/>
        </w:rPr>
        <w:t>De Peer Review</w:t>
      </w:r>
      <w:r w:rsidR="69BF29E9" w:rsidRPr="79A775EF">
        <w:rPr>
          <w:lang w:val="nl-BE"/>
        </w:rPr>
        <w:t xml:space="preserve"> (2020)</w:t>
      </w:r>
      <w:r w:rsidRPr="79A775EF">
        <w:rPr>
          <w:lang w:val="nl-BE"/>
        </w:rPr>
        <w:t xml:space="preserve"> van de Belgische Ontwikkelingssamenwerking</w:t>
      </w:r>
      <w:r w:rsidR="00D3400E">
        <w:rPr>
          <w:rStyle w:val="FootnoteReference"/>
          <w:lang w:val="nl-BE"/>
        </w:rPr>
        <w:footnoteReference w:id="8"/>
      </w:r>
      <w:r w:rsidRPr="79A775EF">
        <w:rPr>
          <w:lang w:val="nl-BE"/>
        </w:rPr>
        <w:t xml:space="preserve"> onderstreept dat het institutioneel kader herzien werd in functie van fragiele settings, maar stelt eveneens vast dat er nog verdere verdieping en consolidering nodig is van de gedane inspanningen.</w:t>
      </w:r>
    </w:p>
    <w:p w14:paraId="79D4842A" w14:textId="06390D62" w:rsidR="00852C90" w:rsidRPr="00776B80" w:rsidRDefault="00852C90" w:rsidP="00852C90">
      <w:pPr>
        <w:pStyle w:val="Vade-mecumtitre1"/>
        <w:numPr>
          <w:ilvl w:val="0"/>
          <w:numId w:val="0"/>
        </w:numPr>
        <w:ind w:left="432" w:hanging="432"/>
        <w:rPr>
          <w:lang w:val="nl-NL"/>
        </w:rPr>
      </w:pPr>
      <w:bookmarkStart w:id="630" w:name="_Toc450715816"/>
      <w:bookmarkStart w:id="631" w:name="_Toc29741220"/>
      <w:bookmarkStart w:id="632" w:name="_Toc35550142"/>
      <w:bookmarkStart w:id="633" w:name="_Toc117601149"/>
      <w:bookmarkEnd w:id="625"/>
      <w:r w:rsidRPr="00226DDF">
        <w:rPr>
          <w:lang w:val="nl-NL"/>
        </w:rPr>
        <w:t>B</w:t>
      </w:r>
      <w:r w:rsidR="004936E3" w:rsidRPr="00226DDF">
        <w:rPr>
          <w:lang w:val="nl-NL"/>
        </w:rPr>
        <w:t>3</w:t>
      </w:r>
      <w:r w:rsidRPr="00226DDF">
        <w:rPr>
          <w:lang w:val="nl-NL"/>
        </w:rPr>
        <w:t xml:space="preserve">. </w:t>
      </w:r>
      <w:bookmarkEnd w:id="630"/>
      <w:bookmarkEnd w:id="631"/>
      <w:bookmarkEnd w:id="632"/>
      <w:r w:rsidR="00F42082" w:rsidRPr="00776B80">
        <w:rPr>
          <w:lang w:val="nl-NL"/>
        </w:rPr>
        <w:t>Motieven</w:t>
      </w:r>
      <w:bookmarkEnd w:id="633"/>
    </w:p>
    <w:p w14:paraId="37C70F4B" w14:textId="77777777" w:rsidR="00734AA9" w:rsidRPr="00734AA9" w:rsidRDefault="00734AA9" w:rsidP="00734AA9">
      <w:pPr>
        <w:spacing w:after="240" w:line="240" w:lineRule="auto"/>
        <w:jc w:val="both"/>
        <w:rPr>
          <w:rFonts w:eastAsia="Calibri" w:cs="Calibri"/>
          <w:szCs w:val="22"/>
          <w:lang w:val="nl-BE"/>
        </w:rPr>
      </w:pPr>
      <w:r w:rsidRPr="00734AA9">
        <w:rPr>
          <w:rFonts w:eastAsia="Calibri" w:cs="Calibri"/>
          <w:b/>
          <w:szCs w:val="22"/>
          <w:lang w:val="nl-BE"/>
        </w:rPr>
        <w:t>Dienst Bijzondere Evaluatie.</w:t>
      </w:r>
      <w:r w:rsidRPr="00734AA9">
        <w:rPr>
          <w:rFonts w:eastAsia="Calibri" w:cs="Calibri"/>
          <w:szCs w:val="22"/>
          <w:lang w:val="nl-BE"/>
        </w:rPr>
        <w:t xml:space="preserve"> Sinds meerdere jaren tracht de Dienst Bijzondere Evaluatie (DBE) nadrukkelijker rekening te houden met de programmeringscycli van de actoren van de Belgische OS en wordt ingezet op beleidsgerichte en strategische evaluaties. Uit voorgaande brede consultaties door DBE is een uitgesproken interesse gebleken voor een evaluatie van de Belgische Ontwikkelingssamenwerking in fragiele situaties. Deze interesse werd in 2020 bevestigd door het strategisch comité van DGD.</w:t>
      </w:r>
    </w:p>
    <w:p w14:paraId="6AA27C39" w14:textId="77777777" w:rsidR="00734AA9" w:rsidRPr="00734AA9" w:rsidRDefault="00734AA9" w:rsidP="00734AA9">
      <w:pPr>
        <w:spacing w:after="240" w:line="240" w:lineRule="auto"/>
        <w:jc w:val="both"/>
        <w:rPr>
          <w:rFonts w:eastAsia="Calibri" w:cs="Calibri"/>
          <w:bCs/>
          <w:szCs w:val="22"/>
          <w:lang w:val="nl-BE"/>
        </w:rPr>
      </w:pPr>
      <w:r w:rsidRPr="00734AA9">
        <w:rPr>
          <w:rFonts w:eastAsia="Calibri" w:cs="Calibri"/>
          <w:b/>
          <w:szCs w:val="22"/>
          <w:lang w:val="nl-BE"/>
        </w:rPr>
        <w:t xml:space="preserve">Belgische Ontwikkelingssamenwerking. </w:t>
      </w:r>
      <w:r w:rsidRPr="00734AA9">
        <w:rPr>
          <w:rFonts w:eastAsia="Calibri" w:cs="Calibri"/>
          <w:bCs/>
          <w:szCs w:val="22"/>
          <w:lang w:val="nl-BE"/>
        </w:rPr>
        <w:t xml:space="preserve">België concentreert een aanzienlijk deel van zijn Officiële Ontwikkelingshulp (ODA) in fragiele contexten. Daar waar tot 2019 acht van de achttien partnerlanden van de gouvernementele samenwerking als fragiel werden beschouwd, is de balans na de exit van zes partnerlanden en de toevoeging van twee nieuwe partnerlanden (Guinee en Burkina Faso) verschoven naar elf fragiele landen op veertien volgens het jongste </w:t>
      </w:r>
      <w:r w:rsidRPr="00734AA9">
        <w:rPr>
          <w:rFonts w:eastAsia="Calibri" w:cs="Calibri"/>
          <w:bCs/>
          <w:i/>
          <w:iCs/>
          <w:szCs w:val="22"/>
          <w:lang w:val="nl-BE"/>
        </w:rPr>
        <w:t>States of Fragility</w:t>
      </w:r>
      <w:r w:rsidRPr="00734AA9">
        <w:rPr>
          <w:rFonts w:eastAsia="Calibri" w:cs="Calibri"/>
          <w:bCs/>
          <w:szCs w:val="22"/>
          <w:lang w:val="nl-BE"/>
        </w:rPr>
        <w:t>-rapport (2022). Van die elf landen worden Burundi en de DRC als extreem fragiel beschouwd. Deze significante shift naar fragiele partnerlanden voedt bijgevolg ook de nood aan een evaluatie van de fragiliteitsbenadering van de Belgische Ontwikkelingssamenwerking.</w:t>
      </w:r>
    </w:p>
    <w:p w14:paraId="76847796" w14:textId="100C689D" w:rsidR="00734AA9" w:rsidRPr="00734AA9" w:rsidRDefault="00734AA9" w:rsidP="79A775EF">
      <w:pPr>
        <w:spacing w:after="240" w:line="240" w:lineRule="auto"/>
        <w:jc w:val="both"/>
        <w:rPr>
          <w:rFonts w:eastAsia="Calibri" w:cs="Calibri"/>
          <w:lang w:val="nl-BE"/>
        </w:rPr>
      </w:pPr>
      <w:r w:rsidRPr="79A775EF">
        <w:rPr>
          <w:rFonts w:eastAsia="Calibri" w:cs="Calibri"/>
          <w:lang w:val="nl-BE"/>
        </w:rPr>
        <w:t xml:space="preserve">Bovendien </w:t>
      </w:r>
      <w:r w:rsidR="7B2E53A7" w:rsidRPr="79A775EF">
        <w:rPr>
          <w:rFonts w:eastAsia="Calibri" w:cs="Calibri"/>
          <w:lang w:val="nl-BE"/>
        </w:rPr>
        <w:t>ging</w:t>
      </w:r>
      <w:r w:rsidRPr="79A775EF">
        <w:rPr>
          <w:rFonts w:eastAsia="Calibri" w:cs="Calibri"/>
          <w:lang w:val="nl-BE"/>
        </w:rPr>
        <w:t xml:space="preserve"> (in 2018) 34,5 % van de totale Belgische ODA naar fragiele landen, een percentage dat hoger ligt dan het OESO-DAC-gemiddelde. Dat cijfer ligt nog hoger wanneer men louter kijkt naar de bilaterale toerekenbare hulp. In dat geval gaat het om 63 % (Peer Review Belgische Ontwikkelingssamenwerking 2020). </w:t>
      </w:r>
    </w:p>
    <w:p w14:paraId="2717A197" w14:textId="467C3948" w:rsidR="00852C90" w:rsidRPr="00852C90" w:rsidRDefault="00852C90" w:rsidP="00FE6634">
      <w:pPr>
        <w:pStyle w:val="Vade-mecumtitre1"/>
        <w:numPr>
          <w:ilvl w:val="0"/>
          <w:numId w:val="0"/>
        </w:numPr>
      </w:pPr>
      <w:bookmarkStart w:id="634" w:name="_Toc450715821"/>
      <w:bookmarkStart w:id="635" w:name="_Toc29741222"/>
      <w:bookmarkStart w:id="636" w:name="_Toc35550146"/>
      <w:bookmarkStart w:id="637" w:name="_Toc117601150"/>
      <w:r w:rsidRPr="00852C90">
        <w:t>B</w:t>
      </w:r>
      <w:r w:rsidR="00776B80">
        <w:t>4</w:t>
      </w:r>
      <w:r w:rsidRPr="00852C90">
        <w:t>. Doelstelling en verwachte resultaten</w:t>
      </w:r>
      <w:bookmarkEnd w:id="634"/>
      <w:bookmarkEnd w:id="635"/>
      <w:bookmarkEnd w:id="636"/>
      <w:bookmarkEnd w:id="637"/>
    </w:p>
    <w:p w14:paraId="509ED899" w14:textId="1F54CDF7" w:rsidR="00852C90" w:rsidRPr="00852C90" w:rsidRDefault="004936E3">
      <w:pPr>
        <w:pStyle w:val="Vade-mecumtitre2"/>
      </w:pPr>
      <w:bookmarkStart w:id="638" w:name="_Toc113544485"/>
      <w:bookmarkStart w:id="639" w:name="_Toc114066791"/>
      <w:bookmarkStart w:id="640" w:name="_Toc115882670"/>
      <w:bookmarkStart w:id="641" w:name="_Toc117601151"/>
      <w:bookmarkStart w:id="642" w:name="_Toc450715822"/>
      <w:bookmarkStart w:id="643" w:name="_Toc29741223"/>
      <w:r>
        <w:t>B</w:t>
      </w:r>
      <w:r w:rsidR="00FE6634">
        <w:t>4</w:t>
      </w:r>
      <w:r w:rsidR="00852C90">
        <w:t>.1 Doelstelling</w:t>
      </w:r>
      <w:bookmarkEnd w:id="638"/>
      <w:bookmarkEnd w:id="639"/>
      <w:bookmarkEnd w:id="640"/>
      <w:bookmarkEnd w:id="641"/>
    </w:p>
    <w:p w14:paraId="78E84F01" w14:textId="646E0A0C" w:rsidR="00852C90" w:rsidRDefault="00477782" w:rsidP="00852C90">
      <w:pPr>
        <w:snapToGrid w:val="0"/>
        <w:spacing w:after="120" w:line="240" w:lineRule="auto"/>
        <w:jc w:val="both"/>
        <w:rPr>
          <w:bCs/>
          <w:lang w:val="nl-NL"/>
        </w:rPr>
      </w:pPr>
      <w:r w:rsidRPr="00477782">
        <w:rPr>
          <w:b/>
          <w:lang w:val="nl-NL"/>
        </w:rPr>
        <w:t>Beleidsondersteunende en strategische evaluatie.</w:t>
      </w:r>
      <w:r w:rsidRPr="00477782">
        <w:rPr>
          <w:bCs/>
          <w:lang w:val="nl-NL"/>
        </w:rPr>
        <w:t xml:space="preserve"> Aan de hand van externe evaluaties beoogt DBE onafhankelijke en onderbouwde bevindingen. Deze bevindingen kunnen door het beleid en de administratie worden gebruikt voor de verfijning of bijsturing van de Belgische fragiliteitsbenadering enerzijds, en voor de uitdraging en toepassing daarvan op bilateraal </w:t>
      </w:r>
      <w:r w:rsidRPr="00477782">
        <w:rPr>
          <w:rFonts w:ascii="Times New Roman" w:hAnsi="Times New Roman" w:cs="Times New Roman"/>
          <w:bCs/>
          <w:lang w:val="nl-NL"/>
        </w:rPr>
        <w:t>‒</w:t>
      </w:r>
      <w:r w:rsidRPr="00477782">
        <w:rPr>
          <w:bCs/>
          <w:lang w:val="nl-NL"/>
        </w:rPr>
        <w:t xml:space="preserve"> gouvernementeel en non-gouvernementeel </w:t>
      </w:r>
      <w:r w:rsidRPr="00477782">
        <w:rPr>
          <w:rFonts w:ascii="Times New Roman" w:hAnsi="Times New Roman" w:cs="Times New Roman"/>
          <w:bCs/>
          <w:lang w:val="nl-NL"/>
        </w:rPr>
        <w:t>‒</w:t>
      </w:r>
      <w:r w:rsidRPr="00477782">
        <w:rPr>
          <w:bCs/>
          <w:lang w:val="nl-NL"/>
        </w:rPr>
        <w:t xml:space="preserve"> </w:t>
      </w:r>
      <w:r w:rsidRPr="00477782">
        <w:rPr>
          <w:rFonts w:cs="Roboto"/>
          <w:bCs/>
          <w:lang w:val="nl-NL"/>
        </w:rPr>
        <w:t>¬</w:t>
      </w:r>
      <w:r w:rsidRPr="00477782">
        <w:rPr>
          <w:bCs/>
          <w:lang w:val="nl-NL"/>
        </w:rPr>
        <w:t>en multilateraal niveau anderzijds. De evaluatie beoogt concrete en toepasbare aanbevelingen die zowel op beleids- als operationeel niveau kunnen bijdragen aan de optimalisering van de Belgische fragiliteitsbenadering.</w:t>
      </w:r>
    </w:p>
    <w:p w14:paraId="6C845B87" w14:textId="30CA69AD" w:rsidR="00D510A0" w:rsidRPr="00852C90" w:rsidRDefault="00D510A0" w:rsidP="00852C90">
      <w:pPr>
        <w:snapToGrid w:val="0"/>
        <w:spacing w:after="120" w:line="240" w:lineRule="auto"/>
        <w:jc w:val="both"/>
        <w:rPr>
          <w:bCs/>
          <w:lang w:val="nl-NL"/>
        </w:rPr>
      </w:pPr>
      <w:r w:rsidRPr="00D510A0">
        <w:rPr>
          <w:b/>
          <w:lang w:val="nl-NL"/>
        </w:rPr>
        <w:lastRenderedPageBreak/>
        <w:t>Hoofdzakelijk formatieve evaluatie.</w:t>
      </w:r>
      <w:r w:rsidRPr="00D510A0">
        <w:rPr>
          <w:bCs/>
          <w:lang w:val="nl-NL"/>
        </w:rPr>
        <w:t xml:space="preserve"> De voornaamste doelstelling is om lessen te trekken uit de toepassing van de Belgische fragiliteitsbenadering. Dat geldt voor alle evaluatiecriteria gehanteerd voor deze evaluatie, ook voor het criterium </w:t>
      </w:r>
      <w:r w:rsidR="00F12EF9">
        <w:rPr>
          <w:bCs/>
          <w:lang w:val="nl-NL"/>
        </w:rPr>
        <w:t>‘</w:t>
      </w:r>
      <w:r w:rsidRPr="00D510A0">
        <w:rPr>
          <w:bCs/>
          <w:lang w:val="nl-NL"/>
        </w:rPr>
        <w:t>doeltreffendheid</w:t>
      </w:r>
      <w:r w:rsidR="00F12EF9">
        <w:rPr>
          <w:bCs/>
          <w:lang w:val="nl-NL"/>
        </w:rPr>
        <w:t>’</w:t>
      </w:r>
      <w:r w:rsidRPr="00D510A0">
        <w:rPr>
          <w:bCs/>
          <w:lang w:val="nl-NL"/>
        </w:rPr>
        <w:t>, dat vooral wordt geassocieerd met summatieve evaluatie. Belangrijker dan de analyse van de doeltreffendheid vanuit het perspectief van verantwoording, is de vraag in welke mate bereikte resultaten in fragiele situaties gekoppeld kunnen worden aan de toepassing van de beleidsprincipes en instrumenten van de Belgische fragiliteitsbenadering.</w:t>
      </w:r>
    </w:p>
    <w:p w14:paraId="032BC903" w14:textId="5898DDED" w:rsidR="00852C90" w:rsidRPr="00852C90" w:rsidRDefault="00852C90">
      <w:pPr>
        <w:pStyle w:val="Vade-mecumtitre2"/>
      </w:pPr>
      <w:bookmarkStart w:id="644" w:name="_Toc113544486"/>
      <w:bookmarkStart w:id="645" w:name="_Toc114066792"/>
      <w:bookmarkStart w:id="646" w:name="_Toc115882671"/>
      <w:bookmarkStart w:id="647" w:name="_Toc117601152"/>
      <w:r>
        <w:t>B</w:t>
      </w:r>
      <w:r w:rsidR="0090184C">
        <w:t>4</w:t>
      </w:r>
      <w:r>
        <w:t>.2 Verwachte resultaten</w:t>
      </w:r>
      <w:bookmarkEnd w:id="644"/>
      <w:bookmarkEnd w:id="645"/>
      <w:bookmarkEnd w:id="646"/>
      <w:bookmarkEnd w:id="647"/>
    </w:p>
    <w:p w14:paraId="41CB1E14" w14:textId="77777777" w:rsidR="00852C90" w:rsidRPr="00852C90" w:rsidRDefault="00852C90" w:rsidP="00852C90">
      <w:pPr>
        <w:snapToGrid w:val="0"/>
        <w:spacing w:after="120" w:line="240" w:lineRule="auto"/>
        <w:jc w:val="both"/>
        <w:rPr>
          <w:lang w:val="nl-NL"/>
        </w:rPr>
      </w:pPr>
      <w:r w:rsidRPr="00852C90">
        <w:rPr>
          <w:lang w:val="nl-NL"/>
        </w:rPr>
        <w:t>De evaluatie zal de volgende resultaten opleveren:</w:t>
      </w:r>
    </w:p>
    <w:p w14:paraId="67A319D9" w14:textId="77777777" w:rsidR="0090184C" w:rsidRPr="0090184C" w:rsidRDefault="0090184C" w:rsidP="0090184C">
      <w:pPr>
        <w:spacing w:after="240" w:line="240" w:lineRule="auto"/>
        <w:contextualSpacing/>
        <w:jc w:val="both"/>
        <w:rPr>
          <w:rFonts w:eastAsia="Calibri" w:cs="Calibri"/>
          <w:bCs/>
          <w:szCs w:val="22"/>
          <w:lang w:val="nl-BE"/>
        </w:rPr>
      </w:pPr>
      <w:bookmarkStart w:id="648" w:name="_Toc35550151"/>
      <w:r w:rsidRPr="0090184C">
        <w:rPr>
          <w:rFonts w:eastAsia="Calibri" w:cs="Calibri"/>
          <w:b/>
          <w:szCs w:val="22"/>
          <w:lang w:val="nl-BE"/>
        </w:rPr>
        <w:t>R1.</w:t>
      </w:r>
      <w:r w:rsidRPr="0090184C">
        <w:rPr>
          <w:rFonts w:eastAsia="Calibri" w:cs="Calibri"/>
          <w:bCs/>
          <w:szCs w:val="22"/>
          <w:lang w:val="nl-BE"/>
        </w:rPr>
        <w:t xml:space="preserve"> Mapping van de Belgische Ontwikkelingssamenwerking in fragiele situaties (incl. Internationale </w:t>
      </w:r>
      <w:r w:rsidRPr="0090184C">
        <w:rPr>
          <w:rFonts w:eastAsia="Calibri" w:cs="Calibri"/>
          <w:szCs w:val="22"/>
          <w:lang w:val="nl-BE"/>
        </w:rPr>
        <w:t>vergelijking</w:t>
      </w:r>
      <w:r w:rsidRPr="0090184C">
        <w:rPr>
          <w:rFonts w:eastAsia="Calibri" w:cs="Calibri"/>
          <w:bCs/>
          <w:szCs w:val="22"/>
          <w:lang w:val="nl-BE"/>
        </w:rPr>
        <w:t>)</w:t>
      </w:r>
    </w:p>
    <w:p w14:paraId="77239A68" w14:textId="77777777" w:rsidR="0090184C" w:rsidRPr="0090184C" w:rsidRDefault="0090184C" w:rsidP="0090184C">
      <w:pPr>
        <w:spacing w:after="240" w:line="240" w:lineRule="auto"/>
        <w:contextualSpacing/>
        <w:jc w:val="both"/>
        <w:rPr>
          <w:rFonts w:eastAsia="Calibri" w:cs="Calibri"/>
          <w:bCs/>
          <w:szCs w:val="22"/>
          <w:lang w:val="nl-BE"/>
        </w:rPr>
      </w:pPr>
      <w:r w:rsidRPr="0090184C">
        <w:rPr>
          <w:rFonts w:eastAsia="Calibri" w:cs="Calibri"/>
          <w:b/>
          <w:szCs w:val="22"/>
          <w:lang w:val="nl-BE"/>
        </w:rPr>
        <w:t>R2.</w:t>
      </w:r>
      <w:r w:rsidRPr="0090184C">
        <w:rPr>
          <w:rFonts w:eastAsia="Calibri" w:cs="Calibri"/>
          <w:bCs/>
          <w:szCs w:val="22"/>
          <w:lang w:val="nl-BE"/>
        </w:rPr>
        <w:t xml:space="preserve"> Bevindingen en conclusies betreffende de coherente toepassing van de Belgische fragiliteitsbenadering, zowel intern (binnen en buiten de FOD Buitenlandse Zaken) als internationaal (referentiepunten inzake fragiliteit, waaronder de </w:t>
      </w:r>
      <w:r w:rsidRPr="0090184C">
        <w:rPr>
          <w:rFonts w:eastAsia="Calibri" w:cs="Calibri"/>
          <w:i/>
          <w:iCs/>
          <w:szCs w:val="22"/>
          <w:lang w:val="nl-BE"/>
        </w:rPr>
        <w:t>New Deal for Engagement in Fragile States</w:t>
      </w:r>
      <w:r w:rsidRPr="0090184C">
        <w:rPr>
          <w:rFonts w:eastAsia="Calibri" w:cs="Calibri"/>
          <w:szCs w:val="22"/>
          <w:lang w:val="nl-BE"/>
        </w:rPr>
        <w:t xml:space="preserve"> en het </w:t>
      </w:r>
      <w:r w:rsidRPr="0090184C">
        <w:rPr>
          <w:rFonts w:eastAsia="Calibri" w:cs="Calibri"/>
          <w:i/>
          <w:iCs/>
          <w:szCs w:val="22"/>
          <w:lang w:val="nl-BE"/>
        </w:rPr>
        <w:t>International Network on Conflict and Fragility</w:t>
      </w:r>
      <w:r w:rsidRPr="0090184C">
        <w:rPr>
          <w:rFonts w:eastAsia="Calibri" w:cs="Calibri"/>
          <w:bCs/>
          <w:szCs w:val="22"/>
          <w:lang w:val="nl-BE"/>
        </w:rPr>
        <w:t>)</w:t>
      </w:r>
    </w:p>
    <w:p w14:paraId="2BE77C4C" w14:textId="77777777" w:rsidR="0090184C" w:rsidRPr="0090184C" w:rsidRDefault="0090184C" w:rsidP="0090184C">
      <w:pPr>
        <w:spacing w:after="240" w:line="240" w:lineRule="auto"/>
        <w:contextualSpacing/>
        <w:jc w:val="both"/>
        <w:rPr>
          <w:rFonts w:eastAsia="Calibri" w:cs="Calibri"/>
          <w:bCs/>
          <w:szCs w:val="22"/>
          <w:lang w:val="nl-BE"/>
        </w:rPr>
      </w:pPr>
      <w:r w:rsidRPr="0090184C">
        <w:rPr>
          <w:rFonts w:eastAsia="Calibri" w:cs="Calibri"/>
          <w:b/>
          <w:szCs w:val="22"/>
          <w:lang w:val="nl-BE"/>
        </w:rPr>
        <w:t>R3.</w:t>
      </w:r>
      <w:r w:rsidRPr="0090184C">
        <w:rPr>
          <w:rFonts w:eastAsia="Calibri" w:cs="Calibri"/>
          <w:bCs/>
          <w:szCs w:val="22"/>
          <w:lang w:val="nl-BE"/>
        </w:rPr>
        <w:t xml:space="preserve"> Bevindingen en conclusies betreffende het instrumentarium, de toepassing van de Belgische fragiliteitsbenadering en de resultaten van de interventies in fragiele landen</w:t>
      </w:r>
    </w:p>
    <w:p w14:paraId="6A983477" w14:textId="77777777" w:rsidR="0090184C" w:rsidRPr="0090184C" w:rsidRDefault="0090184C" w:rsidP="0090184C">
      <w:pPr>
        <w:spacing w:after="240" w:line="240" w:lineRule="auto"/>
        <w:contextualSpacing/>
        <w:jc w:val="both"/>
        <w:rPr>
          <w:rFonts w:eastAsia="Calibri" w:cs="Calibri"/>
          <w:bCs/>
          <w:szCs w:val="22"/>
          <w:lang w:val="nl-BE"/>
        </w:rPr>
      </w:pPr>
      <w:r w:rsidRPr="0090184C">
        <w:rPr>
          <w:rFonts w:eastAsia="Calibri" w:cs="Calibri"/>
          <w:b/>
          <w:szCs w:val="22"/>
          <w:lang w:val="nl-BE"/>
        </w:rPr>
        <w:t>R4.</w:t>
      </w:r>
      <w:r w:rsidRPr="0090184C">
        <w:rPr>
          <w:rFonts w:eastAsia="Calibri" w:cs="Calibri"/>
          <w:bCs/>
          <w:szCs w:val="22"/>
          <w:lang w:val="nl-BE"/>
        </w:rPr>
        <w:t xml:space="preserve"> Aanbevelingen gericht tot beleid, administratie en betrokken ontwikkelingsactoren</w:t>
      </w:r>
    </w:p>
    <w:p w14:paraId="7DB3C516" w14:textId="33C6FBB1" w:rsidR="00852C90" w:rsidRPr="00852C90" w:rsidRDefault="00852C90" w:rsidP="00852C90">
      <w:pPr>
        <w:pStyle w:val="Vade-mecumtitre1"/>
        <w:numPr>
          <w:ilvl w:val="0"/>
          <w:numId w:val="0"/>
        </w:numPr>
      </w:pPr>
      <w:bookmarkStart w:id="649" w:name="_Toc117601153"/>
      <w:r w:rsidRPr="00852C90">
        <w:t>B</w:t>
      </w:r>
      <w:r w:rsidR="0090184C">
        <w:t>5</w:t>
      </w:r>
      <w:r w:rsidRPr="00852C90">
        <w:t>. Scope en staal</w:t>
      </w:r>
      <w:bookmarkEnd w:id="642"/>
      <w:bookmarkEnd w:id="643"/>
      <w:bookmarkEnd w:id="648"/>
      <w:bookmarkEnd w:id="649"/>
    </w:p>
    <w:p w14:paraId="749CE954" w14:textId="4449A702" w:rsidR="00852C90" w:rsidRPr="004936E3" w:rsidRDefault="00852C90">
      <w:pPr>
        <w:pStyle w:val="Vade-mecumtitre2"/>
        <w:rPr>
          <w:lang w:val="nl-NL"/>
        </w:rPr>
      </w:pPr>
      <w:bookmarkStart w:id="650" w:name="_Toc450715823"/>
      <w:bookmarkStart w:id="651" w:name="_Toc29741224"/>
      <w:bookmarkStart w:id="652" w:name="_Toc113544488"/>
      <w:bookmarkStart w:id="653" w:name="_Toc114066794"/>
      <w:bookmarkStart w:id="654" w:name="_Toc115882673"/>
      <w:bookmarkStart w:id="655" w:name="_Toc117601154"/>
      <w:r w:rsidRPr="79A775EF">
        <w:rPr>
          <w:lang w:val="nl-NL"/>
        </w:rPr>
        <w:t>B</w:t>
      </w:r>
      <w:r w:rsidR="0090184C" w:rsidRPr="79A775EF">
        <w:rPr>
          <w:lang w:val="nl-NL"/>
        </w:rPr>
        <w:t>5</w:t>
      </w:r>
      <w:r w:rsidR="004936E3" w:rsidRPr="79A775EF">
        <w:rPr>
          <w:lang w:val="nl-NL"/>
        </w:rPr>
        <w:t>.1</w:t>
      </w:r>
      <w:r w:rsidRPr="79A775EF">
        <w:rPr>
          <w:lang w:val="nl-NL"/>
        </w:rPr>
        <w:t xml:space="preserve"> Scope van de evaluatie</w:t>
      </w:r>
      <w:bookmarkEnd w:id="650"/>
      <w:bookmarkEnd w:id="651"/>
      <w:bookmarkEnd w:id="652"/>
      <w:bookmarkEnd w:id="653"/>
      <w:bookmarkEnd w:id="654"/>
      <w:bookmarkEnd w:id="655"/>
    </w:p>
    <w:p w14:paraId="2428CEE1" w14:textId="77777777" w:rsidR="003F30C9" w:rsidRPr="003F30C9" w:rsidRDefault="003F30C9" w:rsidP="003F30C9">
      <w:pPr>
        <w:spacing w:after="240" w:line="240" w:lineRule="auto"/>
        <w:jc w:val="both"/>
        <w:rPr>
          <w:szCs w:val="22"/>
          <w:lang w:val="nl-BE"/>
        </w:rPr>
      </w:pPr>
      <w:bookmarkStart w:id="656" w:name="_Toc113544489"/>
      <w:bookmarkStart w:id="657" w:name="_Toc114066795"/>
      <w:bookmarkStart w:id="658" w:name="_Toc115882674"/>
      <w:bookmarkStart w:id="659" w:name="_Toc450715825"/>
      <w:bookmarkStart w:id="660" w:name="_Toc29741225"/>
      <w:r w:rsidRPr="003F30C9">
        <w:rPr>
          <w:b/>
          <w:bCs/>
          <w:szCs w:val="22"/>
          <w:lang w:val="nl-BE"/>
        </w:rPr>
        <w:t xml:space="preserve">Beleid. </w:t>
      </w:r>
      <w:r w:rsidRPr="003F30C9">
        <w:rPr>
          <w:szCs w:val="22"/>
          <w:lang w:val="nl-BE"/>
        </w:rPr>
        <w:t xml:space="preserve">De evaluatie focust op de Belgische beleidsprincipes en instrumenten van de Belgische fragiliteitsbenadering en in het bijzonder de toepassing ervan in fragiele partnerlanden van de gouvernementele samenwerking. Deze benadering is nauw verbonden met andere dimensies van het Belgische buitenlands beleid, waaronder de </w:t>
      </w:r>
      <w:r w:rsidRPr="003F30C9">
        <w:rPr>
          <w:i/>
          <w:iCs/>
          <w:szCs w:val="22"/>
          <w:lang w:val="nl-BE"/>
        </w:rPr>
        <w:t>comprehensive approach, de Nexus humanitaire hulp – ontwikkelingssamenwerking – vrede,</w:t>
      </w:r>
      <w:r w:rsidRPr="003F30C9">
        <w:rPr>
          <w:szCs w:val="22"/>
          <w:lang w:val="nl-BE"/>
        </w:rPr>
        <w:t xml:space="preserve"> </w:t>
      </w:r>
      <w:bookmarkStart w:id="661" w:name="_Int_mNpPxEPn"/>
      <w:r w:rsidRPr="003F30C9">
        <w:rPr>
          <w:szCs w:val="22"/>
          <w:lang w:val="nl-BE"/>
        </w:rPr>
        <w:t>effectief</w:t>
      </w:r>
      <w:bookmarkEnd w:id="661"/>
      <w:r w:rsidRPr="003F30C9">
        <w:rPr>
          <w:szCs w:val="22"/>
          <w:lang w:val="nl-BE"/>
        </w:rPr>
        <w:t xml:space="preserve"> multilateralisme en migratie. Deze dimensies maken slechts deel uit van de scope van de evaluatie in zoverre ze van substantiële invloed blijken te zijn bij de toepassing van de Belgische fragiliteitsbenadering in de partnerlanden. Dat geldt in het </w:t>
      </w:r>
      <w:bookmarkStart w:id="662" w:name="_Int_bO2567eE"/>
      <w:r w:rsidRPr="003F30C9">
        <w:rPr>
          <w:szCs w:val="22"/>
          <w:lang w:val="nl-BE"/>
        </w:rPr>
        <w:t>bijzonder</w:t>
      </w:r>
      <w:bookmarkEnd w:id="662"/>
      <w:r w:rsidRPr="003F30C9">
        <w:rPr>
          <w:szCs w:val="22"/>
          <w:lang w:val="nl-BE"/>
        </w:rPr>
        <w:t xml:space="preserve"> voor humanitaire hulp, dat het voorwerp was van een andere recente evaluatie. </w:t>
      </w:r>
    </w:p>
    <w:p w14:paraId="4C956208" w14:textId="0B8EA652" w:rsidR="003F30C9" w:rsidRPr="003F30C9" w:rsidRDefault="003F30C9" w:rsidP="003F30C9">
      <w:pPr>
        <w:spacing w:after="240" w:line="240" w:lineRule="auto"/>
        <w:jc w:val="both"/>
        <w:rPr>
          <w:szCs w:val="22"/>
          <w:lang w:val="nl-BE"/>
        </w:rPr>
      </w:pPr>
      <w:r w:rsidRPr="003F30C9">
        <w:rPr>
          <w:b/>
          <w:bCs/>
          <w:szCs w:val="22"/>
          <w:lang w:val="nl-BE"/>
        </w:rPr>
        <w:t>Niveaus en kanalen.</w:t>
      </w:r>
      <w:r w:rsidRPr="003F30C9">
        <w:rPr>
          <w:szCs w:val="22"/>
          <w:lang w:val="nl-BE"/>
        </w:rPr>
        <w:t xml:space="preserve"> Uit voorgaande paragraaf volgt dat niet enkel zal gekeken worden naar de toepassing van de Belgische fragiliteitsbenadering op het hoofdbestuur en in de diplomatieke posten in fragiele partnerlanden, maar ook in de relevante multilaterale posten. Wat de kanalen betreft betekent de keuze voor een focus op de partnerlanden van de gouvernementele </w:t>
      </w:r>
      <w:bookmarkStart w:id="663" w:name="_Int_cia1C62e"/>
      <w:r w:rsidRPr="003F30C9">
        <w:rPr>
          <w:szCs w:val="22"/>
          <w:lang w:val="nl-BE"/>
        </w:rPr>
        <w:t>samenwerking</w:t>
      </w:r>
      <w:bookmarkEnd w:id="663"/>
      <w:r w:rsidRPr="003F30C9">
        <w:rPr>
          <w:szCs w:val="22"/>
          <w:lang w:val="nl-BE"/>
        </w:rPr>
        <w:t xml:space="preserve"> niet dat enkel naar gouvernementele hulp via het Belgisch Ontwikkelingsagentschap Enabel zal gekeken worden. Fragiele contexten zijn complex en multidimensioneel en vereisen een coherente en omvattende aanpak van de verschillende kanalen en actoren. Zowel de gouvernementele</w:t>
      </w:r>
      <w:r w:rsidR="00BF2BB8">
        <w:rPr>
          <w:szCs w:val="22"/>
          <w:lang w:val="nl-BE"/>
        </w:rPr>
        <w:t>,</w:t>
      </w:r>
      <w:r w:rsidRPr="003F30C9">
        <w:rPr>
          <w:szCs w:val="22"/>
          <w:lang w:val="nl-BE"/>
        </w:rPr>
        <w:t xml:space="preserve"> de niet-gouvernementele samenwerking </w:t>
      </w:r>
      <w:r w:rsidR="00BF2BB8">
        <w:rPr>
          <w:szCs w:val="22"/>
          <w:lang w:val="nl-BE"/>
        </w:rPr>
        <w:t>,</w:t>
      </w:r>
      <w:r w:rsidRPr="003F30C9">
        <w:rPr>
          <w:szCs w:val="22"/>
          <w:lang w:val="nl-BE"/>
        </w:rPr>
        <w:t>de samenwerking via de Belgische Investeringsmaatschappij voor Ontwikkelingslanden (BIO)</w:t>
      </w:r>
      <w:r w:rsidR="00BF2BB8">
        <w:rPr>
          <w:szCs w:val="22"/>
          <w:lang w:val="nl-BE"/>
        </w:rPr>
        <w:t xml:space="preserve"> en de multilaterale samenwerking</w:t>
      </w:r>
      <w:r w:rsidRPr="003F30C9">
        <w:rPr>
          <w:szCs w:val="22"/>
          <w:lang w:val="nl-BE"/>
        </w:rPr>
        <w:t xml:space="preserve"> maken deel uit van de analyses. Evenals de interventies gefinancierd via de diensten van de FOD Buitenlandse Zaken, Buitenlandse Handel en Ontwikkelingssamenwerking ‘Transitie naar ontwikkeling en goed bestuur D5.2’, ‘Vredesopbouw S0.1’</w:t>
      </w:r>
      <w:r w:rsidR="0060359D">
        <w:rPr>
          <w:szCs w:val="22"/>
          <w:lang w:val="nl-BE"/>
        </w:rPr>
        <w:t>, ‘H</w:t>
      </w:r>
      <w:r w:rsidRPr="003F30C9">
        <w:rPr>
          <w:szCs w:val="22"/>
          <w:lang w:val="nl-BE"/>
        </w:rPr>
        <w:t>umanitaire hulp D5.1</w:t>
      </w:r>
      <w:r w:rsidR="0060359D">
        <w:rPr>
          <w:szCs w:val="22"/>
          <w:lang w:val="nl-BE"/>
        </w:rPr>
        <w:t>’</w:t>
      </w:r>
      <w:r w:rsidRPr="003F30C9">
        <w:rPr>
          <w:szCs w:val="22"/>
          <w:lang w:val="nl-BE"/>
        </w:rPr>
        <w:t xml:space="preserve"> en </w:t>
      </w:r>
      <w:r w:rsidR="0060359D">
        <w:rPr>
          <w:szCs w:val="22"/>
          <w:lang w:val="nl-BE"/>
        </w:rPr>
        <w:t>‘</w:t>
      </w:r>
      <w:r w:rsidRPr="003F30C9">
        <w:rPr>
          <w:szCs w:val="22"/>
          <w:lang w:val="nl-BE"/>
        </w:rPr>
        <w:t>Maatschappijopbouw en sociale ontwikkeling D2.5</w:t>
      </w:r>
      <w:r w:rsidR="0060359D">
        <w:rPr>
          <w:szCs w:val="22"/>
          <w:lang w:val="nl-BE"/>
        </w:rPr>
        <w:t>’</w:t>
      </w:r>
      <w:r w:rsidRPr="003F30C9">
        <w:rPr>
          <w:szCs w:val="22"/>
          <w:lang w:val="nl-BE"/>
        </w:rPr>
        <w:t xml:space="preserve">.   </w:t>
      </w:r>
    </w:p>
    <w:p w14:paraId="19DEB403" w14:textId="77777777" w:rsidR="003F30C9" w:rsidRPr="003F30C9" w:rsidRDefault="003F30C9" w:rsidP="003F30C9">
      <w:pPr>
        <w:spacing w:after="240" w:line="240" w:lineRule="auto"/>
        <w:jc w:val="both"/>
        <w:rPr>
          <w:szCs w:val="22"/>
          <w:lang w:val="nl-BE"/>
        </w:rPr>
      </w:pPr>
      <w:r w:rsidRPr="003F30C9">
        <w:rPr>
          <w:b/>
          <w:bCs/>
          <w:szCs w:val="22"/>
          <w:lang w:val="nl-BE"/>
        </w:rPr>
        <w:lastRenderedPageBreak/>
        <w:t>Periode.</w:t>
      </w:r>
      <w:r w:rsidRPr="003F30C9">
        <w:rPr>
          <w:szCs w:val="22"/>
          <w:lang w:val="nl-BE"/>
        </w:rPr>
        <w:t xml:space="preserve"> De evaluatie kijkt naar aan fragiliteit gekoppelde dynamieken en interventies die plaatsvinden in de periode 2015-2022. De gekozen periode staat toe om met voldoende afstand de toepassing van de Belgische fragiliteitsbenadering te evalueren. Vanaf 2015 nam het hoger genoemde beleidsondersteunend onderzoek rond fragiliteit concrete vorm aan en werden reflecties en pilootactiviteiten georganiseerd met diverse actoren van de Belgische Ontwikkelingssamenwerking, en dat zowel in Brussel als op het terrein. In 2015 viel eveneens de beslissing om het aantal partnerlanden te verminderen met een verhoogde focus op fragiele partnerlanden. Verder maakt de gekozen periode het mogelijk om na te gaan in welke mate de Belgische Ontwikkelingssamenwerking zich in fragiele contexten heeft aangepast aan de uitdagingen gesteld door de coronapandemie of zelfs de gevolgen (bv voedselzekerheid) van de oorlog in Oekraïne.</w:t>
      </w:r>
    </w:p>
    <w:p w14:paraId="7F2C055C" w14:textId="5AFD58EF" w:rsidR="00852C90" w:rsidRPr="00852C90" w:rsidRDefault="00852C90">
      <w:pPr>
        <w:pStyle w:val="Vade-mecumtitre2"/>
      </w:pPr>
      <w:bookmarkStart w:id="664" w:name="_Toc117601155"/>
      <w:r>
        <w:t>B</w:t>
      </w:r>
      <w:r w:rsidR="0090184C">
        <w:t>5</w:t>
      </w:r>
      <w:r>
        <w:t xml:space="preserve">.2 Staal van </w:t>
      </w:r>
      <w:bookmarkEnd w:id="656"/>
      <w:bookmarkEnd w:id="657"/>
      <w:bookmarkEnd w:id="658"/>
      <w:r w:rsidR="00453EBF">
        <w:t>partnerlanden</w:t>
      </w:r>
      <w:bookmarkEnd w:id="664"/>
    </w:p>
    <w:p w14:paraId="28747DEB" w14:textId="6B009E30" w:rsidR="00453EBF" w:rsidRPr="00453EBF" w:rsidRDefault="00453EBF" w:rsidP="00453EBF">
      <w:pPr>
        <w:spacing w:after="240" w:line="240" w:lineRule="auto"/>
        <w:jc w:val="both"/>
        <w:rPr>
          <w:szCs w:val="22"/>
          <w:lang w:val="nl-BE"/>
        </w:rPr>
      </w:pPr>
      <w:bookmarkStart w:id="665" w:name="_Toc35550152"/>
      <w:r w:rsidRPr="00453EBF">
        <w:rPr>
          <w:szCs w:val="22"/>
          <w:lang w:val="nl-BE"/>
        </w:rPr>
        <w:t>De (fragiele) partnerlanden zullen met een verschillende graad van diepte</w:t>
      </w:r>
      <w:r>
        <w:rPr>
          <w:szCs w:val="22"/>
          <w:lang w:val="nl-BE"/>
        </w:rPr>
        <w:t xml:space="preserve"> </w:t>
      </w:r>
      <w:r w:rsidRPr="00453EBF">
        <w:rPr>
          <w:szCs w:val="22"/>
          <w:lang w:val="nl-BE"/>
        </w:rPr>
        <w:t xml:space="preserve">geanalyseerd worden. Met een brede lens zal gekeken worden naar alle fragiele en niet-fragiele partnerlanden tijdens de periode 2015-2022. Met een gerichte lens zal tijdens de terreinmissies gefocust worden op drie fragiele partnerlanden.  </w:t>
      </w:r>
    </w:p>
    <w:p w14:paraId="180F768B" w14:textId="067CA4CE" w:rsidR="00453EBF" w:rsidRPr="00453EBF" w:rsidRDefault="00453EBF" w:rsidP="00453EBF">
      <w:pPr>
        <w:spacing w:after="240" w:line="240" w:lineRule="auto"/>
        <w:jc w:val="both"/>
        <w:rPr>
          <w:szCs w:val="22"/>
          <w:lang w:val="nl-BE"/>
        </w:rPr>
      </w:pPr>
      <w:r w:rsidRPr="00453EBF">
        <w:rPr>
          <w:szCs w:val="22"/>
          <w:lang w:val="nl-BE"/>
        </w:rPr>
        <w:t>Voor de mapping en meer algemene overkoepelende analyse komen alle elf partnerlanden van de gouvernementele samenwerking in aanmerking. Een brede analyse van de ODA naar niet</w:t>
      </w:r>
      <w:r w:rsidR="004A08F3">
        <w:rPr>
          <w:szCs w:val="22"/>
          <w:lang w:val="nl-BE"/>
        </w:rPr>
        <w:t>-</w:t>
      </w:r>
      <w:r w:rsidRPr="00453EBF">
        <w:rPr>
          <w:szCs w:val="22"/>
          <w:lang w:val="nl-BE"/>
        </w:rPr>
        <w:t xml:space="preserve">fragiele partnerlanden zal als vergelijkingspunt ook uitgevoerd worden.  </w:t>
      </w:r>
    </w:p>
    <w:p w14:paraId="244361A1" w14:textId="77777777" w:rsidR="00453EBF" w:rsidRPr="00453EBF" w:rsidRDefault="00453EBF" w:rsidP="00453EBF">
      <w:pPr>
        <w:spacing w:after="240" w:line="240" w:lineRule="auto"/>
        <w:jc w:val="both"/>
        <w:rPr>
          <w:szCs w:val="22"/>
          <w:lang w:val="nl-BE"/>
        </w:rPr>
      </w:pPr>
      <w:r w:rsidRPr="00453EBF">
        <w:rPr>
          <w:szCs w:val="22"/>
          <w:lang w:val="nl-BE"/>
        </w:rPr>
        <w:t xml:space="preserve">Voor de diepte-analyse concentreert de evaluatie zich op zes partnerlanden van de gouvernementele ontwikkelingssamenwerking, in drie verschillende regio’s. Voor elke regio zal </w:t>
      </w:r>
      <w:r w:rsidRPr="00453EBF">
        <w:rPr>
          <w:rFonts w:eastAsia="Verdana" w:cs="Verdana"/>
          <w:szCs w:val="22"/>
          <w:lang w:val="nl-BE"/>
        </w:rPr>
        <w:t xml:space="preserve">één land onderwerp zijn van een </w:t>
      </w:r>
      <w:r w:rsidRPr="00453EBF">
        <w:rPr>
          <w:szCs w:val="22"/>
          <w:lang w:val="nl-BE"/>
        </w:rPr>
        <w:t xml:space="preserve">terreinbezoek en een ander land van een uitgebreide analyse zonder terreinbezoek.  Voor de Sahel gaat het om Niger (terrein) en Mali (desk), voor Centraal-Afrika om DR Congo (terrein) en Burundi (desk), en voor West-Afrika om Guinee (terrein) en Burkina Faso (desk). Deze laatste twee zijn nieuwe partnerlanden sinds 2015. Van deze zes landen worden DR Congo en Burundi als extreem fragiel gekenmerkt in het jongste </w:t>
      </w:r>
      <w:r w:rsidRPr="00453EBF">
        <w:rPr>
          <w:i/>
          <w:iCs/>
          <w:szCs w:val="22"/>
          <w:lang w:val="nl-BE"/>
        </w:rPr>
        <w:t>States of Fragility</w:t>
      </w:r>
      <w:r w:rsidRPr="00453EBF">
        <w:rPr>
          <w:szCs w:val="22"/>
          <w:lang w:val="nl-BE"/>
        </w:rPr>
        <w:t xml:space="preserve">-rapport (OECD, 2022). </w:t>
      </w:r>
    </w:p>
    <w:p w14:paraId="48051AA1" w14:textId="77777777" w:rsidR="00453EBF" w:rsidRPr="00453EBF" w:rsidRDefault="00453EBF" w:rsidP="00453EBF">
      <w:pPr>
        <w:spacing w:after="240" w:line="240" w:lineRule="auto"/>
        <w:jc w:val="both"/>
        <w:rPr>
          <w:szCs w:val="22"/>
          <w:lang w:val="nl-BE"/>
        </w:rPr>
      </w:pPr>
      <w:r w:rsidRPr="00453EBF">
        <w:rPr>
          <w:szCs w:val="22"/>
          <w:lang w:val="nl-BE"/>
        </w:rPr>
        <w:t xml:space="preserve">Voor elk van de zes landenstudies dient een zestal interventies in de diepte geëvalueerd te worden. De keuze van de interventies zal gemaakt worden tijdens de mapping fase op basis van een gemotiveerd voorstel van de evaluatoren. </w:t>
      </w:r>
    </w:p>
    <w:p w14:paraId="03FF0665" w14:textId="6D1EBEFD" w:rsidR="00852C90" w:rsidRPr="00852C90" w:rsidRDefault="00852C90" w:rsidP="00852C90">
      <w:pPr>
        <w:pStyle w:val="Vade-mecumtitre1"/>
        <w:numPr>
          <w:ilvl w:val="0"/>
          <w:numId w:val="0"/>
        </w:numPr>
        <w:ind w:left="432" w:hanging="432"/>
      </w:pPr>
      <w:bookmarkStart w:id="666" w:name="_Toc117601156"/>
      <w:r w:rsidRPr="00852C90">
        <w:t>B</w:t>
      </w:r>
      <w:r w:rsidR="004A08F3">
        <w:t>6</w:t>
      </w:r>
      <w:r w:rsidRPr="00852C90">
        <w:t>. Evaluatievragen</w:t>
      </w:r>
      <w:bookmarkEnd w:id="659"/>
      <w:bookmarkEnd w:id="660"/>
      <w:bookmarkEnd w:id="665"/>
      <w:bookmarkEnd w:id="666"/>
    </w:p>
    <w:p w14:paraId="69A4F2B5" w14:textId="6A7F9132" w:rsidR="00852C90" w:rsidRPr="00852C90" w:rsidRDefault="00546767" w:rsidP="00852C90">
      <w:pPr>
        <w:snapToGrid w:val="0"/>
        <w:spacing w:after="120" w:line="240" w:lineRule="auto"/>
        <w:jc w:val="both"/>
        <w:rPr>
          <w:lang w:val="nl-NL"/>
        </w:rPr>
      </w:pPr>
      <w:r w:rsidRPr="00546767">
        <w:rPr>
          <w:lang w:val="nl-NL"/>
        </w:rPr>
        <w:t>De evaluatie zal een globaal antwoord bieden op de hiernavolgende centrale evaluatievragen. De specifieke evaluatievragen kunnen op geargumenteerd voorstel van de evaluatoren verder bijgesteld of aangevuld worden tijdens de scoping en mappingfase van de evaluatie.</w:t>
      </w:r>
    </w:p>
    <w:p w14:paraId="77FFF56C" w14:textId="75D5B992" w:rsidR="00852C90" w:rsidRPr="00852C90" w:rsidRDefault="00852C90">
      <w:pPr>
        <w:pStyle w:val="Vade-mecumtitre2"/>
      </w:pPr>
      <w:bookmarkStart w:id="667" w:name="_Toc113544491"/>
      <w:bookmarkStart w:id="668" w:name="_Toc114066797"/>
      <w:bookmarkStart w:id="669" w:name="_Toc115882676"/>
      <w:bookmarkStart w:id="670" w:name="_Toc117601157"/>
      <w:bookmarkStart w:id="671" w:name="_Toc450715826"/>
      <w:bookmarkStart w:id="672" w:name="_Toc29741226"/>
      <w:r>
        <w:t>B</w:t>
      </w:r>
      <w:r w:rsidR="00546767">
        <w:t>6</w:t>
      </w:r>
      <w:r>
        <w:t>.1. Centrale evaluatievragen</w:t>
      </w:r>
      <w:bookmarkEnd w:id="667"/>
      <w:bookmarkEnd w:id="668"/>
      <w:bookmarkEnd w:id="669"/>
      <w:bookmarkEnd w:id="670"/>
    </w:p>
    <w:p w14:paraId="3177311D" w14:textId="2D9A1C26" w:rsidR="00852C90" w:rsidRPr="00852C90" w:rsidRDefault="00852C90" w:rsidP="79A775EF">
      <w:pPr>
        <w:numPr>
          <w:ilvl w:val="0"/>
          <w:numId w:val="4"/>
        </w:numPr>
        <w:snapToGrid w:val="0"/>
        <w:spacing w:after="120" w:line="240" w:lineRule="auto"/>
        <w:jc w:val="both"/>
        <w:rPr>
          <w:b/>
          <w:bCs/>
          <w:lang w:val="nl-NL"/>
        </w:rPr>
      </w:pPr>
      <w:r w:rsidRPr="79A775EF">
        <w:rPr>
          <w:b/>
          <w:bCs/>
          <w:lang w:val="nl-NL"/>
        </w:rPr>
        <w:t xml:space="preserve">EV 1. </w:t>
      </w:r>
      <w:r w:rsidR="008E5827" w:rsidRPr="79A775EF">
        <w:rPr>
          <w:lang w:val="nl-NL"/>
        </w:rPr>
        <w:t>Is het beleidskader en het instrumentarium van de Belgische Ontwikkelingssamenwerking aangepast aan fragiele contexten? Hoe worden internationale principes en strategische aansturing (o.a. strategienota’s fragiliteit en comprehensive approach, nexus) vertaald naar een coherente fragiliteitsbenadering in de specifieke fragiliteitscontext van de partnerlanden?</w:t>
      </w:r>
    </w:p>
    <w:p w14:paraId="44A3E932" w14:textId="33D86361" w:rsidR="00852C90" w:rsidRPr="00852C90" w:rsidRDefault="00852C90" w:rsidP="79A775EF">
      <w:pPr>
        <w:numPr>
          <w:ilvl w:val="0"/>
          <w:numId w:val="4"/>
        </w:numPr>
        <w:snapToGrid w:val="0"/>
        <w:spacing w:after="120" w:line="240" w:lineRule="auto"/>
        <w:jc w:val="both"/>
        <w:rPr>
          <w:b/>
          <w:bCs/>
          <w:lang w:val="nl-NL"/>
        </w:rPr>
      </w:pPr>
      <w:r w:rsidRPr="79A775EF">
        <w:rPr>
          <w:b/>
          <w:bCs/>
          <w:lang w:val="nl-NL"/>
        </w:rPr>
        <w:lastRenderedPageBreak/>
        <w:t xml:space="preserve">EV 2. </w:t>
      </w:r>
      <w:r w:rsidR="00990E45" w:rsidRPr="79A775EF">
        <w:rPr>
          <w:lang w:val="nl-NL"/>
        </w:rPr>
        <w:t xml:space="preserve">Welke resultaten behaalt de Belgische Ontwikkelingssamenwerking inspelend op de volatiele, complexe contexten van fragiliteit en welk evenwicht is er tussen korte termijn en lange termijn doelstellingen en resultaten? Beschikt de Belgische Ontwikkelingssamenwerking over </w:t>
      </w:r>
      <w:r w:rsidR="00095AB9" w:rsidRPr="79A775EF">
        <w:rPr>
          <w:lang w:val="nl-NL"/>
        </w:rPr>
        <w:t>de</w:t>
      </w:r>
      <w:r w:rsidR="00990E45" w:rsidRPr="79A775EF">
        <w:rPr>
          <w:lang w:val="nl-NL"/>
        </w:rPr>
        <w:t xml:space="preserve"> aangepaste middelen en instrumentarium voor de operationalisering van de fragiliteitsbenadering op het terrein?</w:t>
      </w:r>
    </w:p>
    <w:p w14:paraId="78C77C74" w14:textId="136E4A6F" w:rsidR="00852C90" w:rsidRDefault="00852C90">
      <w:pPr>
        <w:pStyle w:val="Vade-mecumtitre2"/>
      </w:pPr>
      <w:bookmarkStart w:id="673" w:name="_Toc113544492"/>
      <w:bookmarkStart w:id="674" w:name="_Toc114066798"/>
      <w:bookmarkStart w:id="675" w:name="_Toc115882677"/>
      <w:bookmarkStart w:id="676" w:name="_Toc117601158"/>
      <w:r>
        <w:t>B</w:t>
      </w:r>
      <w:r w:rsidR="00581E85">
        <w:t>6</w:t>
      </w:r>
      <w:r>
        <w:t xml:space="preserve">.2 </w:t>
      </w:r>
      <w:bookmarkEnd w:id="673"/>
      <w:bookmarkEnd w:id="674"/>
      <w:bookmarkEnd w:id="675"/>
      <w:r w:rsidR="00581E85">
        <w:t>Specifieke vragen</w:t>
      </w:r>
      <w:bookmarkEnd w:id="676"/>
    </w:p>
    <w:p w14:paraId="63624AAC" w14:textId="360126F8" w:rsidR="004324CC" w:rsidRPr="004324CC" w:rsidRDefault="00B224E0" w:rsidP="004324CC">
      <w:pPr>
        <w:pStyle w:val="Vade-Mecum0"/>
        <w:spacing w:line="240" w:lineRule="auto"/>
        <w:jc w:val="both"/>
        <w:rPr>
          <w:lang w:val="nl-NL"/>
        </w:rPr>
      </w:pPr>
      <w:r w:rsidRPr="00B224E0">
        <w:rPr>
          <w:lang w:val="nl-NL"/>
        </w:rPr>
        <w:t>Onderstaande vragen zijn geïnspireerd door de DAC evaluatiecriteria (relevantie, coherentie, effectiviteit, efficiëntie, duurzaamheid en impact) zonder dat ze per criterium worden opgesplitst.</w:t>
      </w:r>
    </w:p>
    <w:p w14:paraId="4CD78B04" w14:textId="77777777" w:rsidR="004324CC" w:rsidRPr="004324CC" w:rsidRDefault="004324CC">
      <w:pPr>
        <w:pStyle w:val="Vade-Mecum0"/>
        <w:numPr>
          <w:ilvl w:val="0"/>
          <w:numId w:val="16"/>
        </w:numPr>
        <w:spacing w:line="240" w:lineRule="auto"/>
        <w:jc w:val="both"/>
        <w:rPr>
          <w:lang w:val="nl-NL"/>
        </w:rPr>
      </w:pPr>
      <w:r w:rsidRPr="004324CC">
        <w:rPr>
          <w:bCs/>
          <w:lang w:val="nl-BE"/>
        </w:rPr>
        <w:t xml:space="preserve">Neem context als uitgangspunt is het eerste van de tien </w:t>
      </w:r>
      <w:r w:rsidRPr="004324CC">
        <w:rPr>
          <w:i/>
          <w:iCs/>
          <w:lang w:val="nl-BE"/>
        </w:rPr>
        <w:t>Principles for Good International Engagement in Fragile States</w:t>
      </w:r>
      <w:r w:rsidRPr="004324CC">
        <w:rPr>
          <w:lang w:val="nl-BE"/>
        </w:rPr>
        <w:t>. Zijn de contextanalyses en begrip van de lokale fragiliteitscontext voldoende robuust en slaagt de Belgische samenwerking erin zich af te stemmen op de lokale fragiliteitscontext?</w:t>
      </w:r>
    </w:p>
    <w:p w14:paraId="03FCECD4" w14:textId="4C4E0CB7" w:rsidR="004324CC" w:rsidRPr="004324CC" w:rsidRDefault="004324CC">
      <w:pPr>
        <w:pStyle w:val="Vade-Mecum0"/>
        <w:numPr>
          <w:ilvl w:val="0"/>
          <w:numId w:val="16"/>
        </w:numPr>
        <w:spacing w:line="240" w:lineRule="auto"/>
        <w:jc w:val="both"/>
        <w:rPr>
          <w:lang w:val="nl-NL"/>
        </w:rPr>
      </w:pPr>
      <w:r w:rsidRPr="79A775EF">
        <w:rPr>
          <w:lang w:val="nl-BE"/>
        </w:rPr>
        <w:t xml:space="preserve">Vinden internationale principes en Belgische strategische aansturing (10 principes, INCAF, </w:t>
      </w:r>
      <w:r w:rsidRPr="79A775EF">
        <w:rPr>
          <w:i/>
          <w:iCs/>
          <w:lang w:val="nl-BE"/>
        </w:rPr>
        <w:t>comprehensive approach</w:t>
      </w:r>
      <w:r w:rsidRPr="79A775EF">
        <w:rPr>
          <w:lang w:val="nl-BE"/>
        </w:rPr>
        <w:t xml:space="preserve">, Acropolis, nexus, strategienota’s, </w:t>
      </w:r>
      <w:r w:rsidRPr="79A775EF">
        <w:rPr>
          <w:i/>
          <w:iCs/>
          <w:lang w:val="nl-BE"/>
        </w:rPr>
        <w:t>Leave No One Behind, conflict sensitivity, localising</w:t>
      </w:r>
      <w:r w:rsidRPr="79A775EF">
        <w:rPr>
          <w:lang w:val="nl-BE"/>
        </w:rPr>
        <w:t>) voldoende weerslag in de concrete fragiliteitsbenadering op partnerland</w:t>
      </w:r>
      <w:r w:rsidR="22A384A8" w:rsidRPr="79A775EF">
        <w:rPr>
          <w:lang w:val="nl-BE"/>
        </w:rPr>
        <w:t>-</w:t>
      </w:r>
      <w:r w:rsidRPr="79A775EF">
        <w:rPr>
          <w:lang w:val="nl-BE"/>
        </w:rPr>
        <w:t xml:space="preserve">niveau? </w:t>
      </w:r>
    </w:p>
    <w:p w14:paraId="1916225D" w14:textId="77777777" w:rsidR="004324CC" w:rsidRPr="004324CC" w:rsidRDefault="004324CC">
      <w:pPr>
        <w:pStyle w:val="Vade-Mecum0"/>
        <w:numPr>
          <w:ilvl w:val="0"/>
          <w:numId w:val="16"/>
        </w:numPr>
        <w:spacing w:line="240" w:lineRule="auto"/>
        <w:jc w:val="both"/>
        <w:rPr>
          <w:lang w:val="nl-NL"/>
        </w:rPr>
      </w:pPr>
      <w:r w:rsidRPr="004324CC">
        <w:rPr>
          <w:lang w:val="nl-BE"/>
        </w:rPr>
        <w:t>Welke mate van synergie/coherentie bestaat er tussen ontwikkelingssamenwerking en de andere pijlers van het Belgisch buitenlands beleid in de fragiele partnerlanden? Versterken de verschillende pijlers elkaar?</w:t>
      </w:r>
    </w:p>
    <w:p w14:paraId="0130F6BF" w14:textId="7CFC09C7" w:rsidR="004324CC" w:rsidRPr="004324CC" w:rsidRDefault="004324CC">
      <w:pPr>
        <w:pStyle w:val="Vade-Mecum0"/>
        <w:numPr>
          <w:ilvl w:val="0"/>
          <w:numId w:val="16"/>
        </w:numPr>
        <w:spacing w:line="240" w:lineRule="auto"/>
        <w:jc w:val="both"/>
        <w:rPr>
          <w:lang w:val="nl-NL"/>
        </w:rPr>
      </w:pPr>
      <w:r w:rsidRPr="79A775EF">
        <w:rPr>
          <w:lang w:val="nl-BE"/>
        </w:rPr>
        <w:t>Welke mate van ownership van het partnerland is er aanwezig in de fragiliteitsbenadering in het desbetreffende land?</w:t>
      </w:r>
    </w:p>
    <w:p w14:paraId="4E76B043" w14:textId="30E120D2" w:rsidR="004324CC" w:rsidRPr="004324CC" w:rsidRDefault="004324CC">
      <w:pPr>
        <w:pStyle w:val="Vade-Mecum0"/>
        <w:numPr>
          <w:ilvl w:val="0"/>
          <w:numId w:val="16"/>
        </w:numPr>
        <w:spacing w:line="240" w:lineRule="auto"/>
        <w:jc w:val="both"/>
        <w:rPr>
          <w:lang w:val="nl-NL"/>
        </w:rPr>
      </w:pPr>
      <w:r w:rsidRPr="004324CC">
        <w:rPr>
          <w:lang w:val="nl-BE"/>
        </w:rPr>
        <w:t xml:space="preserve">Zijn de kanalen en instrumenten van de Belgische </w:t>
      </w:r>
      <w:r>
        <w:rPr>
          <w:lang w:val="nl-BE"/>
        </w:rPr>
        <w:t>O</w:t>
      </w:r>
      <w:r w:rsidRPr="004324CC">
        <w:rPr>
          <w:lang w:val="nl-BE"/>
        </w:rPr>
        <w:t>ntwikkelingssamenwerking afgestemd op de volatiele, complexe en multidimensionele context van fragiele landen? En is de mate van flexibiliteit bij het gebruik van deze kanalen en instrumenten aangepast aan de volatiliteit van fragiele contexten?</w:t>
      </w:r>
    </w:p>
    <w:p w14:paraId="3A54E0FE" w14:textId="5B80C968" w:rsidR="004324CC" w:rsidRPr="004324CC" w:rsidRDefault="004324CC">
      <w:pPr>
        <w:pStyle w:val="Vade-Mecum0"/>
        <w:numPr>
          <w:ilvl w:val="0"/>
          <w:numId w:val="16"/>
        </w:numPr>
        <w:spacing w:line="240" w:lineRule="auto"/>
        <w:jc w:val="both"/>
        <w:rPr>
          <w:lang w:val="nl-NL"/>
        </w:rPr>
      </w:pPr>
      <w:r w:rsidRPr="79A775EF">
        <w:rPr>
          <w:lang w:val="nl-BE"/>
        </w:rPr>
        <w:t>Vormt het geheel van de Belgische ontwikkelingsinterventies een complementair geheel en antwoord op de lokale behoeften? Zijn in het bijzonder de meer punctuele interventies (dienst vredesopbouw en dienst transitie) complementair met de meer structurele financieringen via Enabel</w:t>
      </w:r>
      <w:r w:rsidR="00F62BB7">
        <w:rPr>
          <w:lang w:val="nl-BE"/>
        </w:rPr>
        <w:t>,</w:t>
      </w:r>
      <w:r w:rsidRPr="79A775EF">
        <w:rPr>
          <w:lang w:val="nl-BE"/>
        </w:rPr>
        <w:t xml:space="preserve"> de ANGS</w:t>
      </w:r>
      <w:r w:rsidR="00F62BB7">
        <w:rPr>
          <w:lang w:val="nl-BE"/>
        </w:rPr>
        <w:t xml:space="preserve"> en de multilaterale kanalen</w:t>
      </w:r>
      <w:r w:rsidRPr="79A775EF">
        <w:rPr>
          <w:lang w:val="nl-BE"/>
        </w:rPr>
        <w:t>?</w:t>
      </w:r>
    </w:p>
    <w:p w14:paraId="65484FBB" w14:textId="77777777" w:rsidR="004324CC" w:rsidRPr="004324CC" w:rsidRDefault="004324CC">
      <w:pPr>
        <w:pStyle w:val="Vade-Mecum0"/>
        <w:numPr>
          <w:ilvl w:val="0"/>
          <w:numId w:val="16"/>
        </w:numPr>
        <w:spacing w:line="240" w:lineRule="auto"/>
        <w:jc w:val="both"/>
        <w:rPr>
          <w:lang w:val="nl-NL"/>
        </w:rPr>
      </w:pPr>
      <w:r w:rsidRPr="004324CC">
        <w:rPr>
          <w:lang w:val="nl-BE"/>
        </w:rPr>
        <w:t>Is de huidige mix van inzet van de verschillende kanalen en instrumenten van de Belgische ontwikkelingssamenwerking de meest efficiënte in een fragiele context?</w:t>
      </w:r>
    </w:p>
    <w:p w14:paraId="2227A282" w14:textId="081737AB" w:rsidR="004324CC" w:rsidRPr="004324CC" w:rsidRDefault="004324CC">
      <w:pPr>
        <w:pStyle w:val="Vade-Mecum0"/>
        <w:numPr>
          <w:ilvl w:val="0"/>
          <w:numId w:val="16"/>
        </w:numPr>
        <w:spacing w:line="240" w:lineRule="auto"/>
        <w:jc w:val="both"/>
        <w:rPr>
          <w:lang w:val="nl-NL"/>
        </w:rPr>
      </w:pPr>
      <w:r w:rsidRPr="79A775EF">
        <w:rPr>
          <w:lang w:val="nl-BE"/>
        </w:rPr>
        <w:t>Zijn de vooropgestelde doelstellingen van de Belgische interventies realistisch en haalbaar in een fragiele context?  Welke zijn de behaalde resultaten en kunnen deze als succesvol beschouwd worden in een fragiele context? Zorgen de interventies voor een aantoonbare meerwaarde voor de begunstigde bevolking? Welke zijn de voornaamste redenen voor resultaten die</w:t>
      </w:r>
      <w:r w:rsidR="458A45E8" w:rsidRPr="79A775EF">
        <w:rPr>
          <w:lang w:val="nl-BE"/>
        </w:rPr>
        <w:t xml:space="preserve"> al dan</w:t>
      </w:r>
      <w:r w:rsidRPr="79A775EF">
        <w:rPr>
          <w:lang w:val="nl-BE"/>
        </w:rPr>
        <w:t xml:space="preserve"> niet behaald werden?</w:t>
      </w:r>
    </w:p>
    <w:p w14:paraId="65922C71" w14:textId="77777777" w:rsidR="004324CC" w:rsidRPr="004324CC" w:rsidRDefault="004324CC">
      <w:pPr>
        <w:pStyle w:val="Vade-Mecum0"/>
        <w:numPr>
          <w:ilvl w:val="0"/>
          <w:numId w:val="16"/>
        </w:numPr>
        <w:spacing w:line="240" w:lineRule="auto"/>
        <w:jc w:val="both"/>
        <w:rPr>
          <w:lang w:val="nl-NL"/>
        </w:rPr>
      </w:pPr>
      <w:r w:rsidRPr="004324CC">
        <w:rPr>
          <w:lang w:val="nl-BE"/>
        </w:rPr>
        <w:t>Interveniëren in fragiele situaties is risicovol: Is de Belgische risico-appetijt zowel op vlak van acceptatie van falende interventies als op vlak van veiligheidsrisico’s voor ontwikkelingsactoren aangepast aan de fragiele contexten waarin gewerkt wordt?</w:t>
      </w:r>
    </w:p>
    <w:p w14:paraId="33BFD560" w14:textId="5065EE22" w:rsidR="004324CC" w:rsidRPr="007969EC" w:rsidRDefault="004324CC">
      <w:pPr>
        <w:pStyle w:val="Vade-Mecum0"/>
        <w:numPr>
          <w:ilvl w:val="0"/>
          <w:numId w:val="16"/>
        </w:numPr>
        <w:spacing w:line="240" w:lineRule="auto"/>
        <w:jc w:val="both"/>
        <w:rPr>
          <w:lang w:val="nl-BE"/>
        </w:rPr>
      </w:pPr>
      <w:r w:rsidRPr="004324CC">
        <w:rPr>
          <w:lang w:val="nl-BE"/>
        </w:rPr>
        <w:t xml:space="preserve">Slaagt de Belgische ontwikkelingssamenwerking er ook in om bij te dragen aan lange </w:t>
      </w:r>
      <w:r w:rsidRPr="007969EC">
        <w:rPr>
          <w:lang w:val="nl-BE"/>
        </w:rPr>
        <w:t>termijn doelstellingen in de volatiele fragiele contexten? Kunnen duurzame resultaten vastgesteld worden?</w:t>
      </w:r>
    </w:p>
    <w:p w14:paraId="6169940C" w14:textId="77777777" w:rsidR="004324CC" w:rsidRPr="007969EC" w:rsidRDefault="004324CC">
      <w:pPr>
        <w:pStyle w:val="Vade-Mecum0"/>
        <w:numPr>
          <w:ilvl w:val="0"/>
          <w:numId w:val="16"/>
        </w:numPr>
        <w:spacing w:line="240" w:lineRule="auto"/>
        <w:jc w:val="both"/>
        <w:rPr>
          <w:lang w:val="nl-BE"/>
        </w:rPr>
      </w:pPr>
      <w:r w:rsidRPr="007969EC">
        <w:rPr>
          <w:lang w:val="nl-BE"/>
        </w:rPr>
        <w:lastRenderedPageBreak/>
        <w:t>Worden de transversale thema gender en leefmilieu voldoende gereflecteerd in de fragiliteitsbenadering?</w:t>
      </w:r>
    </w:p>
    <w:p w14:paraId="67721058" w14:textId="2180D5A4" w:rsidR="00852C90" w:rsidRPr="007969EC" w:rsidRDefault="00852C90" w:rsidP="007F7062">
      <w:pPr>
        <w:pStyle w:val="Vade-mecumtitre1"/>
        <w:numPr>
          <w:ilvl w:val="0"/>
          <w:numId w:val="0"/>
        </w:numPr>
        <w:ind w:left="432" w:hanging="432"/>
      </w:pPr>
      <w:bookmarkStart w:id="677" w:name="_Toc444521685"/>
      <w:bookmarkStart w:id="678" w:name="_Toc444522175"/>
      <w:bookmarkStart w:id="679" w:name="_Toc444522201"/>
      <w:bookmarkStart w:id="680" w:name="_Toc444521686"/>
      <w:bookmarkStart w:id="681" w:name="_Toc444522176"/>
      <w:bookmarkStart w:id="682" w:name="_Toc444522202"/>
      <w:bookmarkStart w:id="683" w:name="_Toc444521687"/>
      <w:bookmarkStart w:id="684" w:name="_Toc444522177"/>
      <w:bookmarkStart w:id="685" w:name="_Toc444522203"/>
      <w:bookmarkStart w:id="686" w:name="_Toc444521688"/>
      <w:bookmarkStart w:id="687" w:name="_Toc444522178"/>
      <w:bookmarkStart w:id="688" w:name="_Toc444522204"/>
      <w:bookmarkStart w:id="689" w:name="_Toc444521689"/>
      <w:bookmarkStart w:id="690" w:name="_Toc444522179"/>
      <w:bookmarkStart w:id="691" w:name="_Toc444522205"/>
      <w:bookmarkStart w:id="692" w:name="_Toc437948682"/>
      <w:bookmarkStart w:id="693" w:name="_Toc450715829"/>
      <w:bookmarkStart w:id="694" w:name="_Toc29741229"/>
      <w:bookmarkStart w:id="695" w:name="_Toc35550154"/>
      <w:bookmarkStart w:id="696" w:name="_Toc117601159"/>
      <w:bookmarkEnd w:id="671"/>
      <w:bookmarkEnd w:id="672"/>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7969EC">
        <w:t>B</w:t>
      </w:r>
      <w:r w:rsidR="00A91015" w:rsidRPr="007969EC">
        <w:t>7</w:t>
      </w:r>
      <w:r w:rsidRPr="007969EC">
        <w:t xml:space="preserve">. </w:t>
      </w:r>
      <w:bookmarkEnd w:id="692"/>
      <w:bookmarkEnd w:id="693"/>
      <w:bookmarkEnd w:id="694"/>
      <w:bookmarkEnd w:id="695"/>
      <w:r w:rsidR="00A91015" w:rsidRPr="007969EC">
        <w:t>Aanpak en verloop</w:t>
      </w:r>
      <w:bookmarkEnd w:id="696"/>
      <w:r w:rsidR="00A91015" w:rsidRPr="007969EC">
        <w:t xml:space="preserve"> </w:t>
      </w:r>
    </w:p>
    <w:p w14:paraId="199B301B" w14:textId="569AEA8D" w:rsidR="00852C90" w:rsidRPr="007969EC" w:rsidRDefault="004936E3">
      <w:pPr>
        <w:pStyle w:val="Vade-mecumtitre2"/>
        <w:rPr>
          <w:lang w:val="nl-BE"/>
        </w:rPr>
      </w:pPr>
      <w:bookmarkStart w:id="697" w:name="_Toc114066801"/>
      <w:bookmarkStart w:id="698" w:name="_Toc115882680"/>
      <w:bookmarkStart w:id="699" w:name="_Toc117601160"/>
      <w:r w:rsidRPr="007969EC">
        <w:rPr>
          <w:lang w:val="nl-BE"/>
        </w:rPr>
        <w:t>B</w:t>
      </w:r>
      <w:r w:rsidR="0000750E" w:rsidRPr="007969EC">
        <w:rPr>
          <w:lang w:val="nl-BE"/>
        </w:rPr>
        <w:t>7</w:t>
      </w:r>
      <w:r w:rsidRPr="007969EC">
        <w:rPr>
          <w:lang w:val="nl-BE"/>
        </w:rPr>
        <w:t xml:space="preserve">.1 </w:t>
      </w:r>
      <w:bookmarkEnd w:id="697"/>
      <w:bookmarkEnd w:id="698"/>
      <w:r w:rsidR="0000750E" w:rsidRPr="007969EC">
        <w:rPr>
          <w:lang w:val="nl-BE"/>
        </w:rPr>
        <w:t xml:space="preserve">(Methodologische) aanpak en </w:t>
      </w:r>
      <w:r w:rsidR="2E0F4411" w:rsidRPr="007969EC">
        <w:rPr>
          <w:lang w:val="nl-BE"/>
        </w:rPr>
        <w:t>afbakening</w:t>
      </w:r>
      <w:bookmarkEnd w:id="699"/>
    </w:p>
    <w:p w14:paraId="45BA89CE" w14:textId="4F1AB67C" w:rsidR="008009C4" w:rsidRPr="007969EC" w:rsidRDefault="008009C4" w:rsidP="008009C4">
      <w:pPr>
        <w:snapToGrid w:val="0"/>
        <w:spacing w:after="120" w:line="240" w:lineRule="auto"/>
        <w:jc w:val="both"/>
        <w:rPr>
          <w:lang w:val="nl-BE"/>
        </w:rPr>
      </w:pPr>
      <w:r w:rsidRPr="007969EC">
        <w:rPr>
          <w:lang w:val="nl-BE"/>
        </w:rPr>
        <w:t>De evaluatoren starten met een eerste brede consultatie van de belangrijkste stakeholders van de Belgische Ontwikkelingssamenwerking en</w:t>
      </w:r>
      <w:r w:rsidR="1CABC4C0" w:rsidRPr="007969EC">
        <w:rPr>
          <w:lang w:val="nl-BE"/>
        </w:rPr>
        <w:t xml:space="preserve"> een</w:t>
      </w:r>
      <w:r w:rsidRPr="007969EC">
        <w:rPr>
          <w:lang w:val="nl-BE"/>
        </w:rPr>
        <w:t xml:space="preserve"> studie van de belangrijkste internationale en Belgische strategische en conceptuele documenten. Recente studies en internationale evaluaties rond fragiliteit worden eveneens geraadpleegd. Relevante stemmen uit de academische wereld en internationale fora rond fragiliteit (bv INCAF) worden geïdentificeerd en geconsulteerd.</w:t>
      </w:r>
    </w:p>
    <w:p w14:paraId="20457895" w14:textId="02E5CA0A" w:rsidR="008009C4" w:rsidRPr="007969EC" w:rsidRDefault="008009C4" w:rsidP="008009C4">
      <w:pPr>
        <w:snapToGrid w:val="0"/>
        <w:spacing w:after="120" w:line="240" w:lineRule="auto"/>
        <w:jc w:val="both"/>
        <w:rPr>
          <w:lang w:val="nl-BE"/>
        </w:rPr>
      </w:pPr>
      <w:r w:rsidRPr="007969EC">
        <w:rPr>
          <w:lang w:val="nl-BE"/>
        </w:rPr>
        <w:t xml:space="preserve">Deze eerste fase mondt uit in een methodologische nota waarin zowel de methodologische als de praktische aanpak wordt uitgewerkt. In deze fase kunnen zowel de evaluatievragen uit het bestek als de voorgestelde methodologische aanpak uit de offerte verfijnd worden (met goedkeuring van het begeleidingscomité). </w:t>
      </w:r>
    </w:p>
    <w:p w14:paraId="242FB051" w14:textId="77777777" w:rsidR="008009C4" w:rsidRPr="007969EC" w:rsidRDefault="008009C4" w:rsidP="008009C4">
      <w:pPr>
        <w:snapToGrid w:val="0"/>
        <w:spacing w:after="120" w:line="240" w:lineRule="auto"/>
        <w:jc w:val="both"/>
        <w:rPr>
          <w:lang w:val="nl-BE"/>
        </w:rPr>
      </w:pPr>
      <w:r w:rsidRPr="007969EC">
        <w:rPr>
          <w:lang w:val="nl-BE"/>
        </w:rPr>
        <w:t xml:space="preserve">Bijzondere aandacht dient hierbij ook te gaan naar de praktische aanpak op vlak van dataverzameling in fragiele contexten, de haalbaarheidslimieten van terreinzendingen, dataverzameling vanop afstand, veiligheid van de evaluatoren en de geëvalueerden. </w:t>
      </w:r>
    </w:p>
    <w:p w14:paraId="62B01CAA" w14:textId="58B880D0" w:rsidR="00852C90" w:rsidRPr="007969EC" w:rsidRDefault="008009C4" w:rsidP="008009C4">
      <w:pPr>
        <w:snapToGrid w:val="0"/>
        <w:spacing w:after="120" w:line="240" w:lineRule="auto"/>
        <w:jc w:val="both"/>
        <w:rPr>
          <w:lang w:val="nl-BE"/>
        </w:rPr>
      </w:pPr>
      <w:r w:rsidRPr="007969EC">
        <w:rPr>
          <w:lang w:val="nl-BE"/>
        </w:rPr>
        <w:t xml:space="preserve">Ook voor deze evaluatie geldt het principe </w:t>
      </w:r>
      <w:r w:rsidRPr="007969EC">
        <w:rPr>
          <w:i/>
          <w:iCs/>
          <w:lang w:val="nl-BE"/>
        </w:rPr>
        <w:t>do no harm</w:t>
      </w:r>
      <w:r w:rsidRPr="007969EC">
        <w:rPr>
          <w:lang w:val="nl-BE"/>
        </w:rPr>
        <w:t>.</w:t>
      </w:r>
    </w:p>
    <w:p w14:paraId="19489A93" w14:textId="5876CB19" w:rsidR="00852C90" w:rsidRPr="007969EC" w:rsidRDefault="004936E3">
      <w:pPr>
        <w:pStyle w:val="Vade-mecumtitre2"/>
        <w:rPr>
          <w:lang w:val="nl-BE"/>
        </w:rPr>
      </w:pPr>
      <w:bookmarkStart w:id="700" w:name="_Toc115882681"/>
      <w:bookmarkStart w:id="701" w:name="_Toc117601161"/>
      <w:r w:rsidRPr="007969EC">
        <w:rPr>
          <w:lang w:val="nl-BE"/>
        </w:rPr>
        <w:t>B</w:t>
      </w:r>
      <w:r w:rsidR="0045192A" w:rsidRPr="007969EC">
        <w:rPr>
          <w:lang w:val="nl-BE"/>
        </w:rPr>
        <w:t>7</w:t>
      </w:r>
      <w:r w:rsidRPr="007969EC">
        <w:rPr>
          <w:lang w:val="nl-BE"/>
        </w:rPr>
        <w:t xml:space="preserve">.2 </w:t>
      </w:r>
      <w:bookmarkEnd w:id="700"/>
      <w:r w:rsidR="0045192A" w:rsidRPr="007969EC">
        <w:rPr>
          <w:lang w:val="nl-BE"/>
        </w:rPr>
        <w:t xml:space="preserve">Mapping </w:t>
      </w:r>
      <w:r w:rsidR="002D41EB">
        <w:rPr>
          <w:lang w:val="nl-BE"/>
        </w:rPr>
        <w:t xml:space="preserve">en </w:t>
      </w:r>
      <w:r w:rsidR="00631F84">
        <w:rPr>
          <w:lang w:val="nl-BE"/>
        </w:rPr>
        <w:t xml:space="preserve">analyse </w:t>
      </w:r>
      <w:r w:rsidR="0045192A" w:rsidRPr="007969EC">
        <w:rPr>
          <w:lang w:val="nl-BE"/>
        </w:rPr>
        <w:t>van de Belgische Ontwikkelingssamenwerking in fragiele partnerlanden</w:t>
      </w:r>
      <w:bookmarkEnd w:id="701"/>
    </w:p>
    <w:p w14:paraId="5CE27B95" w14:textId="06B529FD" w:rsidR="00FB1B99" w:rsidRPr="007969EC" w:rsidRDefault="00FB1B99" w:rsidP="00FB1B99">
      <w:pPr>
        <w:snapToGrid w:val="0"/>
        <w:spacing w:after="120" w:line="240" w:lineRule="auto"/>
        <w:jc w:val="both"/>
        <w:rPr>
          <w:lang w:val="nl-BE"/>
        </w:rPr>
      </w:pPr>
      <w:bookmarkStart w:id="702" w:name="_Toc115882682"/>
      <w:r w:rsidRPr="007969EC">
        <w:rPr>
          <w:lang w:val="nl-BE"/>
        </w:rPr>
        <w:t xml:space="preserve">De mapping zal zich baseren op een diepgaande studie van de beschikbare </w:t>
      </w:r>
      <w:r w:rsidR="7C333058" w:rsidRPr="6A6D0166">
        <w:rPr>
          <w:lang w:val="nl-BE"/>
        </w:rPr>
        <w:t>gegevens en informatie</w:t>
      </w:r>
      <w:r w:rsidRPr="007969EC">
        <w:rPr>
          <w:lang w:val="nl-BE"/>
        </w:rPr>
        <w:t xml:space="preserve"> over de Belgische ODA die naar de fragiele partnerlanden gaat. De mapping zal een zicht geven over de mix van kanalen en instrumenten die ingezet wordt in de fragiele partnerlanden, over de sectoren die ondersteund worden, en de evoluties/ trends in de periode 2015-2022 in kaart brengen. In de mate van de beschikbaarheid van gelijkaardige data over de steun van andere donoren in fragiele landen wordt een internationale vergelijking gemaakt.</w:t>
      </w:r>
    </w:p>
    <w:p w14:paraId="17555E60" w14:textId="77777777" w:rsidR="00764B3E" w:rsidRDefault="00FB1B99" w:rsidP="6A6D0166">
      <w:pPr>
        <w:snapToGrid w:val="0"/>
        <w:spacing w:after="120" w:line="240" w:lineRule="auto"/>
        <w:jc w:val="both"/>
        <w:rPr>
          <w:lang w:val="nl-BE"/>
        </w:rPr>
      </w:pPr>
      <w:r w:rsidRPr="007969EC">
        <w:rPr>
          <w:lang w:val="nl-BE"/>
        </w:rPr>
        <w:t>De mapping zal de Belgische ODA die naar fragiele partnerlanden gaat ook vergelijken met de ODA die naar niet-fragiele partnerlanden gaat. Bij die niet-fragiele partnerlanden kunnen de exit-partnerlanden uit 2015-2019 eveneens mee in rekening genomen worden.</w:t>
      </w:r>
      <w:r w:rsidR="000D1340">
        <w:rPr>
          <w:lang w:val="nl-BE"/>
        </w:rPr>
        <w:t xml:space="preserve"> </w:t>
      </w:r>
    </w:p>
    <w:p w14:paraId="3F868F58" w14:textId="3E13C410" w:rsidR="00FB1B99" w:rsidRPr="007969EC" w:rsidRDefault="415C2C57" w:rsidP="6A6D0166">
      <w:pPr>
        <w:snapToGrid w:val="0"/>
        <w:spacing w:after="120" w:line="240" w:lineRule="auto"/>
        <w:jc w:val="both"/>
        <w:rPr>
          <w:lang w:val="nl-BE"/>
        </w:rPr>
      </w:pPr>
      <w:r w:rsidRPr="6A6D0166">
        <w:rPr>
          <w:lang w:val="nl-BE"/>
        </w:rPr>
        <w:t xml:space="preserve">Deze mapping zal zich niet louter focussen op financiële stromen van ODA maar bevat ook een eerste analyse van het type acties en </w:t>
      </w:r>
      <w:r w:rsidR="00997896">
        <w:rPr>
          <w:lang w:val="nl-BE"/>
        </w:rPr>
        <w:t xml:space="preserve">specifieke </w:t>
      </w:r>
      <w:r w:rsidRPr="6A6D0166">
        <w:rPr>
          <w:lang w:val="nl-BE"/>
        </w:rPr>
        <w:t xml:space="preserve">antwoorden </w:t>
      </w:r>
      <w:r w:rsidR="00B13EBD">
        <w:rPr>
          <w:lang w:val="nl-BE"/>
        </w:rPr>
        <w:t xml:space="preserve">in fragiele </w:t>
      </w:r>
      <w:r w:rsidR="000702CA">
        <w:rPr>
          <w:lang w:val="nl-BE"/>
        </w:rPr>
        <w:t>contexten.</w:t>
      </w:r>
    </w:p>
    <w:p w14:paraId="19DE0A06" w14:textId="117E5A9D" w:rsidR="00FB1B99" w:rsidRPr="007969EC" w:rsidRDefault="00FB1B99" w:rsidP="00FB1B99">
      <w:pPr>
        <w:snapToGrid w:val="0"/>
        <w:spacing w:after="120" w:line="240" w:lineRule="auto"/>
        <w:jc w:val="both"/>
        <w:rPr>
          <w:lang w:val="nl-BE"/>
        </w:rPr>
      </w:pPr>
      <w:r w:rsidRPr="007969EC">
        <w:rPr>
          <w:lang w:val="nl-BE"/>
        </w:rPr>
        <w:t>De</w:t>
      </w:r>
      <w:r w:rsidR="007427D0">
        <w:rPr>
          <w:lang w:val="nl-BE"/>
        </w:rPr>
        <w:t>ze fase</w:t>
      </w:r>
      <w:r w:rsidRPr="007969EC">
        <w:rPr>
          <w:lang w:val="nl-BE"/>
        </w:rPr>
        <w:t xml:space="preserve"> zal afgerond worden met een bredere consultatieronde van stakeholders en een bredere studie van beschikbare documenten. Ook recente evaluaties van DBE over core funding, de Belgische strategie voor humanitaire hulp en de landenstrategieën in het kader van het eerste beheerscontract van Enabel worden geconsulteerd voor een optimale coherentie met deze evaluatie.</w:t>
      </w:r>
    </w:p>
    <w:p w14:paraId="76334671" w14:textId="77777777" w:rsidR="00FB1B99" w:rsidRPr="007969EC" w:rsidRDefault="00FB1B99" w:rsidP="00FB1B99">
      <w:pPr>
        <w:snapToGrid w:val="0"/>
        <w:spacing w:after="120" w:line="240" w:lineRule="auto"/>
        <w:jc w:val="both"/>
        <w:rPr>
          <w:lang w:val="nl-BE"/>
        </w:rPr>
      </w:pPr>
      <w:r w:rsidRPr="007969EC">
        <w:rPr>
          <w:lang w:val="nl-BE"/>
        </w:rPr>
        <w:t>De mapping mondt uit in eerste voorlopige vaststellingen en hypotheses die verder gericht dienen uitgediept te worden in de fase van de landenstudies.</w:t>
      </w:r>
    </w:p>
    <w:p w14:paraId="0176C27E" w14:textId="22D2EB21" w:rsidR="003D3E38" w:rsidRPr="007969EC" w:rsidRDefault="00FB1B99" w:rsidP="00FB1B99">
      <w:pPr>
        <w:snapToGrid w:val="0"/>
        <w:spacing w:after="120" w:line="240" w:lineRule="auto"/>
        <w:jc w:val="both"/>
        <w:rPr>
          <w:lang w:val="nl-BE"/>
        </w:rPr>
      </w:pPr>
      <w:r w:rsidRPr="007969EC">
        <w:rPr>
          <w:lang w:val="nl-BE"/>
        </w:rPr>
        <w:t xml:space="preserve">Op basis van de mapping worden ook de interventies geïdentificeerd die tijdens de </w:t>
      </w:r>
      <w:r w:rsidR="003D3E38" w:rsidRPr="007969EC">
        <w:rPr>
          <w:lang w:val="nl-BE"/>
        </w:rPr>
        <w:t xml:space="preserve">zes </w:t>
      </w:r>
      <w:r w:rsidRPr="007969EC">
        <w:rPr>
          <w:lang w:val="nl-BE"/>
        </w:rPr>
        <w:t>landenstudies geëvalueerd zullen worden.</w:t>
      </w:r>
    </w:p>
    <w:p w14:paraId="59A9E672" w14:textId="3D790A8A" w:rsidR="00852C90" w:rsidRPr="007969EC" w:rsidRDefault="000F4C9B">
      <w:pPr>
        <w:pStyle w:val="Vade-mecumtitre2"/>
        <w:rPr>
          <w:lang w:val="nl-BE"/>
        </w:rPr>
      </w:pPr>
      <w:bookmarkStart w:id="703" w:name="_Toc117601162"/>
      <w:r w:rsidRPr="007969EC">
        <w:rPr>
          <w:lang w:val="nl-BE"/>
        </w:rPr>
        <w:lastRenderedPageBreak/>
        <w:t>B</w:t>
      </w:r>
      <w:r w:rsidR="003D3E38" w:rsidRPr="007969EC">
        <w:rPr>
          <w:lang w:val="nl-BE"/>
        </w:rPr>
        <w:t>7</w:t>
      </w:r>
      <w:r w:rsidRPr="007969EC">
        <w:rPr>
          <w:lang w:val="nl-BE"/>
        </w:rPr>
        <w:t xml:space="preserve">.3 </w:t>
      </w:r>
      <w:bookmarkEnd w:id="702"/>
      <w:r w:rsidR="0000661F" w:rsidRPr="007969EC">
        <w:rPr>
          <w:lang w:val="nl-BE"/>
        </w:rPr>
        <w:t>Landenstudies</w:t>
      </w:r>
      <w:bookmarkEnd w:id="703"/>
    </w:p>
    <w:p w14:paraId="63C84DA6" w14:textId="7E40CB0B" w:rsidR="00F569A4" w:rsidRPr="007969EC" w:rsidRDefault="00F569A4" w:rsidP="00F569A4">
      <w:pPr>
        <w:snapToGrid w:val="0"/>
        <w:spacing w:after="120" w:line="240" w:lineRule="auto"/>
        <w:jc w:val="both"/>
        <w:rPr>
          <w:lang w:val="nl-BE"/>
        </w:rPr>
      </w:pPr>
      <w:r w:rsidRPr="007969EC">
        <w:rPr>
          <w:lang w:val="nl-BE"/>
        </w:rPr>
        <w:t xml:space="preserve">In de landenstudies zal de fragiliteitsbenadering in zes partnerlanden geëvalueerd worden. Drie landen op het terrein (DRC, Niger, Guinee), </w:t>
      </w:r>
      <w:r w:rsidR="52CEFFB1" w:rsidRPr="007969EC">
        <w:rPr>
          <w:lang w:val="nl-BE"/>
        </w:rPr>
        <w:t>d</w:t>
      </w:r>
      <w:r w:rsidRPr="007969EC">
        <w:rPr>
          <w:lang w:val="nl-BE"/>
        </w:rPr>
        <w:t xml:space="preserve">rie landen vanop afstand (Burundi, Mali, Burkina Faso). </w:t>
      </w:r>
    </w:p>
    <w:p w14:paraId="1657BAF0" w14:textId="364204A5" w:rsidR="00F569A4" w:rsidRPr="007969EC" w:rsidRDefault="00F569A4" w:rsidP="00F569A4">
      <w:pPr>
        <w:snapToGrid w:val="0"/>
        <w:spacing w:after="120" w:line="240" w:lineRule="auto"/>
        <w:jc w:val="both"/>
        <w:rPr>
          <w:lang w:val="nl-BE"/>
        </w:rPr>
      </w:pPr>
      <w:r w:rsidRPr="007969EC">
        <w:rPr>
          <w:lang w:val="nl-BE"/>
        </w:rPr>
        <w:t xml:space="preserve">In elk van deze landen worden ook de resultaten van een zestal interventies beoordeeld om een tastbaar beeld te krijgen van de resultaten die haalbaar zijn en </w:t>
      </w:r>
      <w:r w:rsidR="509498E9" w:rsidRPr="007969EC">
        <w:rPr>
          <w:lang w:val="nl-BE"/>
        </w:rPr>
        <w:t xml:space="preserve">al dan niet </w:t>
      </w:r>
      <w:r w:rsidRPr="007969EC">
        <w:rPr>
          <w:lang w:val="nl-BE"/>
        </w:rPr>
        <w:t>behaald worden in een context van fragiliteit.</w:t>
      </w:r>
    </w:p>
    <w:p w14:paraId="3EAB56AA" w14:textId="55A7AD87" w:rsidR="00F569A4" w:rsidRPr="007969EC" w:rsidRDefault="00F569A4" w:rsidP="00F569A4">
      <w:pPr>
        <w:snapToGrid w:val="0"/>
        <w:spacing w:after="120" w:line="240" w:lineRule="auto"/>
        <w:jc w:val="both"/>
        <w:rPr>
          <w:lang w:val="nl-BE"/>
        </w:rPr>
      </w:pPr>
      <w:r w:rsidRPr="007969EC">
        <w:rPr>
          <w:i/>
          <w:iCs/>
          <w:lang w:val="nl-BE"/>
        </w:rPr>
        <w:t>Take context as a starting point</w:t>
      </w:r>
      <w:r w:rsidRPr="007969EC">
        <w:rPr>
          <w:lang w:val="nl-BE"/>
        </w:rPr>
        <w:t>: het startpunt van deze landenstudies is een grondige analyse van de (fragiliteits-) context van de zes betrokken partnerlanden. Bestaande (Frame) analyses kunnen hier deel van uitmaken maar dienen eveneens met een kritische blik bekeken te worden.</w:t>
      </w:r>
    </w:p>
    <w:p w14:paraId="4E288A8E" w14:textId="62107AA3" w:rsidR="00F569A4" w:rsidRPr="007969EC" w:rsidRDefault="00F569A4" w:rsidP="00F569A4">
      <w:pPr>
        <w:snapToGrid w:val="0"/>
        <w:spacing w:after="120" w:line="240" w:lineRule="auto"/>
        <w:jc w:val="both"/>
        <w:rPr>
          <w:lang w:val="nl-BE"/>
        </w:rPr>
      </w:pPr>
      <w:r w:rsidRPr="007969EC">
        <w:rPr>
          <w:lang w:val="nl-BE"/>
        </w:rPr>
        <w:t xml:space="preserve">Deze fase mondt uit in zes landenrapporten die elk voortbouwen op de vaststellingen en hypotheses uit de voorgaande fases en antwoorden geven op de evaluatievragen in de specifieke context van de desbetreffende landen. </w:t>
      </w:r>
    </w:p>
    <w:p w14:paraId="1614722B" w14:textId="6415EE8B" w:rsidR="00852C90" w:rsidRPr="007969EC" w:rsidRDefault="00F569A4" w:rsidP="00F569A4">
      <w:pPr>
        <w:snapToGrid w:val="0"/>
        <w:spacing w:after="120" w:line="240" w:lineRule="auto"/>
        <w:jc w:val="both"/>
        <w:rPr>
          <w:lang w:val="nl-BE"/>
        </w:rPr>
      </w:pPr>
      <w:r w:rsidRPr="007969EC">
        <w:rPr>
          <w:lang w:val="nl-BE"/>
        </w:rPr>
        <w:t>Andere relevante donoren worden ook geraadpleegd over hun fragiliteitsbenadering in de drie partnerlanden die deel uitmaken van de terreinmissies.</w:t>
      </w:r>
    </w:p>
    <w:p w14:paraId="3922AB77" w14:textId="77777777" w:rsidR="009702E5" w:rsidRPr="007969EC" w:rsidRDefault="009702E5" w:rsidP="009702E5">
      <w:pPr>
        <w:snapToGrid w:val="0"/>
        <w:spacing w:after="120" w:line="240" w:lineRule="auto"/>
        <w:jc w:val="both"/>
        <w:rPr>
          <w:lang w:val="nl-BE"/>
        </w:rPr>
      </w:pPr>
      <w:r w:rsidRPr="007969EC">
        <w:rPr>
          <w:lang w:val="nl-BE"/>
        </w:rPr>
        <w:t xml:space="preserve">In de drie landen die bezocht worden, wordt aan het einde van de missie ter plaatse ook een restitutie georganiseerd met de belangrijkste stakeholders. Rekening houdend met alle mogelijke gevoeligheden evenwel, ook hier geldt: </w:t>
      </w:r>
      <w:r w:rsidRPr="007969EC">
        <w:rPr>
          <w:i/>
          <w:iCs/>
          <w:lang w:val="nl-BE"/>
        </w:rPr>
        <w:t>Do no harm.</w:t>
      </w:r>
    </w:p>
    <w:p w14:paraId="25CDEBDF" w14:textId="77777777" w:rsidR="00A37C89" w:rsidRPr="007969EC" w:rsidRDefault="009702E5" w:rsidP="00A37C89">
      <w:pPr>
        <w:snapToGrid w:val="0"/>
        <w:spacing w:after="120" w:line="240" w:lineRule="auto"/>
        <w:jc w:val="both"/>
        <w:rPr>
          <w:lang w:val="nl-BE"/>
        </w:rPr>
      </w:pPr>
      <w:r w:rsidRPr="007969EC">
        <w:rPr>
          <w:lang w:val="nl-BE"/>
        </w:rPr>
        <w:t>De drie andere cases worden besproken op een online meeting waar ook de actoren in het partnerland aan kunnen deelnemen.</w:t>
      </w:r>
    </w:p>
    <w:p w14:paraId="4D7B03DC" w14:textId="67DE8401" w:rsidR="00A37C89" w:rsidRPr="007969EC" w:rsidRDefault="00A37C89" w:rsidP="00A37C89">
      <w:pPr>
        <w:snapToGrid w:val="0"/>
        <w:spacing w:after="120" w:line="240" w:lineRule="auto"/>
        <w:jc w:val="both"/>
        <w:rPr>
          <w:lang w:val="nl-BE"/>
        </w:rPr>
      </w:pPr>
      <w:r w:rsidRPr="007969EC">
        <w:rPr>
          <w:lang w:val="nl-BE"/>
        </w:rPr>
        <w:t>In deze fases wordt verwacht dat eveneens beroep wordt gedaan op experten inzake contextanalyse en experten/ evaluatoren uit de partnerlanden zelf.</w:t>
      </w:r>
    </w:p>
    <w:p w14:paraId="386D3C17" w14:textId="034FE4DE" w:rsidR="009702E5" w:rsidRPr="007969EC" w:rsidRDefault="00A37C89" w:rsidP="00A37C89">
      <w:pPr>
        <w:snapToGrid w:val="0"/>
        <w:spacing w:after="120" w:line="240" w:lineRule="auto"/>
        <w:jc w:val="both"/>
        <w:rPr>
          <w:highlight w:val="lightGray"/>
          <w:lang w:val="nl-BE"/>
        </w:rPr>
      </w:pPr>
      <w:r w:rsidRPr="007969EC">
        <w:rPr>
          <w:lang w:val="nl-BE"/>
        </w:rPr>
        <w:t>De evaluatoren dienen de nodige tijd uit te trekken om tijdens de terreinzendingen de stakeholders diepgaand te consulteren en de geselecteerde interventies grondig te evalueren.</w:t>
      </w:r>
    </w:p>
    <w:p w14:paraId="296C9312" w14:textId="017B0DAC" w:rsidR="00852C90" w:rsidRPr="007969EC" w:rsidRDefault="000F4C9B">
      <w:pPr>
        <w:pStyle w:val="Vade-mecumtitre2"/>
        <w:rPr>
          <w:lang w:val="nl-BE"/>
        </w:rPr>
      </w:pPr>
      <w:bookmarkStart w:id="704" w:name="_Toc115882683"/>
      <w:bookmarkStart w:id="705" w:name="_Toc117601163"/>
      <w:r w:rsidRPr="007969EC">
        <w:rPr>
          <w:lang w:val="nl-BE"/>
        </w:rPr>
        <w:t>B</w:t>
      </w:r>
      <w:r w:rsidR="00A37C89" w:rsidRPr="007969EC">
        <w:rPr>
          <w:lang w:val="nl-BE"/>
        </w:rPr>
        <w:t>7.</w:t>
      </w:r>
      <w:r w:rsidRPr="007969EC">
        <w:rPr>
          <w:lang w:val="nl-BE"/>
        </w:rPr>
        <w:t xml:space="preserve">4 </w:t>
      </w:r>
      <w:r w:rsidR="00A37C89" w:rsidRPr="007969EC">
        <w:rPr>
          <w:lang w:val="nl-BE"/>
        </w:rPr>
        <w:t>E</w:t>
      </w:r>
      <w:r w:rsidRPr="007969EC">
        <w:rPr>
          <w:lang w:val="nl-BE"/>
        </w:rPr>
        <w:t>indrapport</w:t>
      </w:r>
      <w:bookmarkEnd w:id="704"/>
      <w:bookmarkEnd w:id="705"/>
    </w:p>
    <w:p w14:paraId="78D465A2" w14:textId="61CD3144" w:rsidR="00497471" w:rsidRPr="007969EC" w:rsidRDefault="00497471" w:rsidP="00497471">
      <w:pPr>
        <w:snapToGrid w:val="0"/>
        <w:spacing w:after="120" w:line="240" w:lineRule="auto"/>
        <w:jc w:val="both"/>
        <w:rPr>
          <w:lang w:val="nl-BE"/>
        </w:rPr>
      </w:pPr>
      <w:bookmarkStart w:id="706" w:name="_Toc450715830"/>
      <w:bookmarkStart w:id="707" w:name="_Toc29741230"/>
      <w:r w:rsidRPr="007969EC">
        <w:rPr>
          <w:lang w:val="nl-BE"/>
        </w:rPr>
        <w:t>Op basis van de mapping en de landenstudies formuleren de evaluatoren hun conclusies en een eerste aanzet tot aanbevelingen.</w:t>
      </w:r>
    </w:p>
    <w:p w14:paraId="16F148B6" w14:textId="074BE939" w:rsidR="00852C90" w:rsidRPr="007969EC" w:rsidRDefault="00497471" w:rsidP="00497471">
      <w:pPr>
        <w:snapToGrid w:val="0"/>
        <w:spacing w:after="120" w:line="240" w:lineRule="auto"/>
        <w:jc w:val="both"/>
        <w:rPr>
          <w:highlight w:val="lightGray"/>
          <w:lang w:val="nl-BE"/>
        </w:rPr>
      </w:pPr>
      <w:r w:rsidRPr="007969EC">
        <w:rPr>
          <w:lang w:val="nl-BE"/>
        </w:rPr>
        <w:t>Gezien het formatieve karakter van deze evaluatie wordt deze eerste aanzet tot aanbevelingen in een workshop verder verfijnd en getoetst naar haalbaarheid met de belangrijkste stakeholders.  Het blijven evenwel de onafhankelijke evaluatoren die de pen vasthouden bij het uitschrijven van de eindconclusies en -aanbevelingen.</w:t>
      </w:r>
    </w:p>
    <w:p w14:paraId="10D44A27" w14:textId="56AF3F72" w:rsidR="000F4C9B" w:rsidRPr="007969EC" w:rsidRDefault="000F4C9B">
      <w:pPr>
        <w:pStyle w:val="Vade-mecumtitre2"/>
        <w:rPr>
          <w:lang w:val="nl-BE"/>
        </w:rPr>
      </w:pPr>
      <w:bookmarkStart w:id="708" w:name="_Toc115882684"/>
      <w:bookmarkStart w:id="709" w:name="_Toc117601164"/>
      <w:r w:rsidRPr="007969EC">
        <w:rPr>
          <w:lang w:val="nl-BE"/>
        </w:rPr>
        <w:t>B</w:t>
      </w:r>
      <w:r w:rsidR="00497471" w:rsidRPr="007969EC">
        <w:rPr>
          <w:lang w:val="nl-BE"/>
        </w:rPr>
        <w:t>7</w:t>
      </w:r>
      <w:r w:rsidRPr="007969EC">
        <w:rPr>
          <w:lang w:val="nl-BE"/>
        </w:rPr>
        <w:t xml:space="preserve">.5 </w:t>
      </w:r>
      <w:r w:rsidR="00497471" w:rsidRPr="007969EC">
        <w:rPr>
          <w:lang w:val="nl-BE"/>
        </w:rPr>
        <w:t>R</w:t>
      </w:r>
      <w:r w:rsidRPr="007969EC">
        <w:rPr>
          <w:lang w:val="nl-BE"/>
        </w:rPr>
        <w:t>estitutie</w:t>
      </w:r>
      <w:bookmarkEnd w:id="708"/>
      <w:bookmarkEnd w:id="709"/>
    </w:p>
    <w:p w14:paraId="417F29D6" w14:textId="6D2A74A3" w:rsidR="00852C90" w:rsidRDefault="003615C7" w:rsidP="00852C90">
      <w:pPr>
        <w:snapToGrid w:val="0"/>
        <w:spacing w:after="120" w:line="240" w:lineRule="auto"/>
        <w:jc w:val="both"/>
        <w:rPr>
          <w:lang w:val="nl-BE"/>
        </w:rPr>
      </w:pPr>
      <w:r w:rsidRPr="007969EC">
        <w:rPr>
          <w:lang w:val="nl-BE"/>
        </w:rPr>
        <w:t>Na de goedkeuring van het eindrapport wordt het evaluatieproces afgesloten met een publieke restitutie van de belangrijkste conclusies en aanbevelingen.</w:t>
      </w:r>
    </w:p>
    <w:p w14:paraId="10C97EEA" w14:textId="0E2DF864" w:rsidR="00764B3E" w:rsidRDefault="00764B3E" w:rsidP="00852C90">
      <w:pPr>
        <w:snapToGrid w:val="0"/>
        <w:spacing w:after="120" w:line="240" w:lineRule="auto"/>
        <w:jc w:val="both"/>
        <w:rPr>
          <w:lang w:val="nl-BE"/>
        </w:rPr>
      </w:pPr>
    </w:p>
    <w:p w14:paraId="149ECFC0" w14:textId="77777777" w:rsidR="00764B3E" w:rsidRPr="007969EC" w:rsidRDefault="00764B3E" w:rsidP="00852C90">
      <w:pPr>
        <w:snapToGrid w:val="0"/>
        <w:spacing w:after="120" w:line="240" w:lineRule="auto"/>
        <w:jc w:val="both"/>
        <w:rPr>
          <w:lang w:val="nl-BE"/>
        </w:rPr>
      </w:pPr>
    </w:p>
    <w:p w14:paraId="4674C7AA" w14:textId="0720CFAC" w:rsidR="00852C90" w:rsidRDefault="00852C90" w:rsidP="007F7062">
      <w:pPr>
        <w:pStyle w:val="Vade-mecumtitre1"/>
        <w:numPr>
          <w:ilvl w:val="0"/>
          <w:numId w:val="0"/>
        </w:numPr>
        <w:ind w:left="432" w:hanging="432"/>
      </w:pPr>
      <w:bookmarkStart w:id="710" w:name="_Toc35550155"/>
      <w:bookmarkStart w:id="711" w:name="_Toc117601165"/>
      <w:r w:rsidRPr="00852C90">
        <w:lastRenderedPageBreak/>
        <w:t>B</w:t>
      </w:r>
      <w:r w:rsidR="00857E6D">
        <w:t>8</w:t>
      </w:r>
      <w:r w:rsidRPr="00852C90">
        <w:t xml:space="preserve">. </w:t>
      </w:r>
      <w:bookmarkEnd w:id="706"/>
      <w:bookmarkEnd w:id="707"/>
      <w:bookmarkEnd w:id="710"/>
      <w:r w:rsidR="00857E6D">
        <w:t>Timing</w:t>
      </w:r>
      <w:bookmarkEnd w:id="711"/>
    </w:p>
    <w:p w14:paraId="2E40AD5C" w14:textId="55326D9D" w:rsidR="002D458D" w:rsidRPr="002D458D" w:rsidRDefault="002D458D" w:rsidP="359F3E86">
      <w:pPr>
        <w:pStyle w:val="ListParagraph"/>
        <w:numPr>
          <w:ilvl w:val="0"/>
          <w:numId w:val="17"/>
        </w:numPr>
        <w:spacing w:after="0" w:line="240" w:lineRule="auto"/>
        <w:jc w:val="both"/>
        <w:rPr>
          <w:rFonts w:eastAsia="Calibri" w:cs="Calibri"/>
          <w:szCs w:val="22"/>
          <w:lang w:val="nl-BE"/>
        </w:rPr>
      </w:pPr>
      <w:r w:rsidRPr="359F3E86">
        <w:rPr>
          <w:rFonts w:eastAsia="Calibri" w:cs="Calibri"/>
          <w:szCs w:val="22"/>
          <w:lang w:val="nl-BE"/>
        </w:rPr>
        <w:t>Kick-off</w:t>
      </w:r>
      <w:r>
        <w:tab/>
      </w:r>
      <w:r>
        <w:tab/>
      </w:r>
      <w:r>
        <w:tab/>
      </w:r>
      <w:r>
        <w:tab/>
      </w:r>
      <w:r w:rsidRPr="359F3E86">
        <w:rPr>
          <w:rFonts w:eastAsia="Calibri" w:cs="Calibri"/>
          <w:szCs w:val="22"/>
          <w:lang w:val="nl-BE"/>
        </w:rPr>
        <w:t>januari 2023</w:t>
      </w:r>
    </w:p>
    <w:p w14:paraId="0247687C" w14:textId="372DC77F" w:rsidR="002D458D" w:rsidRPr="002D458D" w:rsidRDefault="002D458D" w:rsidP="359F3E86">
      <w:pPr>
        <w:numPr>
          <w:ilvl w:val="0"/>
          <w:numId w:val="17"/>
        </w:numPr>
        <w:spacing w:after="0" w:line="240" w:lineRule="auto"/>
        <w:contextualSpacing/>
        <w:jc w:val="both"/>
        <w:rPr>
          <w:rFonts w:eastAsia="Calibri" w:cs="Calibri"/>
          <w:szCs w:val="22"/>
          <w:lang w:val="nl-BE"/>
        </w:rPr>
      </w:pPr>
      <w:r w:rsidRPr="359F3E86">
        <w:rPr>
          <w:rFonts w:eastAsia="Calibri" w:cs="Calibri"/>
          <w:szCs w:val="22"/>
          <w:lang w:val="nl-BE"/>
        </w:rPr>
        <w:t>Methodologische nota</w:t>
      </w:r>
      <w:r>
        <w:tab/>
      </w:r>
      <w:r>
        <w:tab/>
      </w:r>
      <w:r w:rsidRPr="359F3E86">
        <w:rPr>
          <w:rFonts w:eastAsia="Calibri" w:cs="Calibri"/>
          <w:szCs w:val="22"/>
          <w:lang w:val="nl-BE"/>
        </w:rPr>
        <w:t>februari 2023</w:t>
      </w:r>
    </w:p>
    <w:p w14:paraId="08800A28" w14:textId="6874C5FB" w:rsidR="002D458D" w:rsidRPr="002D458D" w:rsidRDefault="002D458D" w:rsidP="359F3E86">
      <w:pPr>
        <w:numPr>
          <w:ilvl w:val="0"/>
          <w:numId w:val="17"/>
        </w:numPr>
        <w:spacing w:after="0" w:line="240" w:lineRule="auto"/>
        <w:contextualSpacing/>
        <w:jc w:val="both"/>
        <w:rPr>
          <w:rFonts w:eastAsia="Calibri" w:cs="Calibri"/>
          <w:szCs w:val="22"/>
          <w:lang w:val="nl-BE"/>
        </w:rPr>
      </w:pPr>
      <w:r w:rsidRPr="359F3E86">
        <w:rPr>
          <w:rFonts w:eastAsia="Calibri" w:cs="Calibri"/>
          <w:szCs w:val="22"/>
          <w:lang w:val="nl-BE"/>
        </w:rPr>
        <w:t>Mapping</w:t>
      </w:r>
      <w:r>
        <w:tab/>
      </w:r>
      <w:r>
        <w:tab/>
      </w:r>
      <w:r>
        <w:tab/>
      </w:r>
      <w:r w:rsidR="772F6B79" w:rsidRPr="359F3E86">
        <w:rPr>
          <w:szCs w:val="22"/>
        </w:rPr>
        <w:t xml:space="preserve">     </w:t>
      </w:r>
      <w:r w:rsidR="009110B1">
        <w:rPr>
          <w:szCs w:val="22"/>
        </w:rPr>
        <w:t xml:space="preserve">  </w:t>
      </w:r>
      <w:r w:rsidR="772F6B79" w:rsidRPr="359F3E86">
        <w:rPr>
          <w:szCs w:val="22"/>
        </w:rPr>
        <w:t xml:space="preserve">      </w:t>
      </w:r>
      <w:r w:rsidRPr="359F3E86">
        <w:rPr>
          <w:rFonts w:eastAsia="Calibri" w:cs="Calibri"/>
          <w:szCs w:val="22"/>
          <w:lang w:val="nl-BE"/>
        </w:rPr>
        <w:t>april 2023</w:t>
      </w:r>
    </w:p>
    <w:p w14:paraId="33126159" w14:textId="04176208" w:rsidR="002D458D" w:rsidRPr="002D458D" w:rsidRDefault="002D458D" w:rsidP="359F3E86">
      <w:pPr>
        <w:numPr>
          <w:ilvl w:val="0"/>
          <w:numId w:val="17"/>
        </w:numPr>
        <w:spacing w:after="0" w:line="240" w:lineRule="auto"/>
        <w:contextualSpacing/>
        <w:jc w:val="both"/>
        <w:rPr>
          <w:rFonts w:eastAsia="Calibri" w:cs="Calibri"/>
          <w:szCs w:val="22"/>
          <w:lang w:val="nl-BE"/>
        </w:rPr>
      </w:pPr>
      <w:r w:rsidRPr="359F3E86">
        <w:rPr>
          <w:rFonts w:eastAsia="Calibri" w:cs="Calibri"/>
          <w:szCs w:val="22"/>
          <w:lang w:val="nl-BE"/>
        </w:rPr>
        <w:t xml:space="preserve">Landenstudies </w:t>
      </w:r>
      <w:r>
        <w:tab/>
      </w:r>
      <w:r>
        <w:tab/>
      </w:r>
      <w:r>
        <w:tab/>
      </w:r>
      <w:r w:rsidRPr="359F3E86">
        <w:rPr>
          <w:rFonts w:eastAsia="Calibri" w:cs="Calibri"/>
          <w:szCs w:val="22"/>
          <w:lang w:val="nl-BE"/>
        </w:rPr>
        <w:t xml:space="preserve">april – </w:t>
      </w:r>
      <w:r w:rsidR="006D400E">
        <w:rPr>
          <w:rFonts w:eastAsia="Calibri" w:cs="Calibri"/>
          <w:szCs w:val="22"/>
          <w:lang w:val="nl-BE"/>
        </w:rPr>
        <w:t>juli</w:t>
      </w:r>
      <w:r w:rsidRPr="359F3E86">
        <w:rPr>
          <w:rFonts w:eastAsia="Calibri" w:cs="Calibri"/>
          <w:szCs w:val="22"/>
          <w:lang w:val="nl-BE"/>
        </w:rPr>
        <w:t xml:space="preserve"> 2023</w:t>
      </w:r>
    </w:p>
    <w:p w14:paraId="632D625F" w14:textId="701D251D" w:rsidR="002D458D" w:rsidRPr="009110B1" w:rsidRDefault="002D458D" w:rsidP="359F3E86">
      <w:pPr>
        <w:numPr>
          <w:ilvl w:val="0"/>
          <w:numId w:val="17"/>
        </w:numPr>
        <w:spacing w:after="0" w:line="240" w:lineRule="auto"/>
        <w:contextualSpacing/>
        <w:jc w:val="both"/>
        <w:rPr>
          <w:rFonts w:eastAsia="Calibri" w:cs="Calibri"/>
          <w:szCs w:val="22"/>
          <w:lang w:val="nl-BE"/>
        </w:rPr>
      </w:pPr>
      <w:r w:rsidRPr="359F3E86">
        <w:rPr>
          <w:rFonts w:eastAsia="Calibri" w:cs="Calibri"/>
          <w:szCs w:val="22"/>
          <w:lang w:val="nl-BE"/>
        </w:rPr>
        <w:t>Eerste draft eindrapport + workshop</w:t>
      </w:r>
      <w:r w:rsidRPr="009110B1">
        <w:rPr>
          <w:lang w:val="nl-NL"/>
        </w:rPr>
        <w:tab/>
      </w:r>
      <w:r w:rsidR="006D400E">
        <w:rPr>
          <w:rFonts w:eastAsia="Calibri" w:cs="Calibri"/>
          <w:szCs w:val="22"/>
          <w:lang w:val="nl-BE"/>
        </w:rPr>
        <w:t>augustus</w:t>
      </w:r>
      <w:r w:rsidR="01FEBB98" w:rsidRPr="009110B1">
        <w:rPr>
          <w:rFonts w:eastAsia="Calibri" w:cs="Calibri"/>
          <w:szCs w:val="22"/>
          <w:lang w:val="nl-BE"/>
        </w:rPr>
        <w:t xml:space="preserve"> - </w:t>
      </w:r>
      <w:r w:rsidR="0076499B">
        <w:rPr>
          <w:rFonts w:eastAsia="Calibri" w:cs="Calibri"/>
          <w:szCs w:val="22"/>
          <w:lang w:val="nl-BE"/>
        </w:rPr>
        <w:t>september</w:t>
      </w:r>
      <w:r w:rsidRPr="009110B1">
        <w:rPr>
          <w:rFonts w:eastAsia="Calibri" w:cs="Calibri"/>
          <w:szCs w:val="22"/>
          <w:lang w:val="nl-BE"/>
        </w:rPr>
        <w:t xml:space="preserve"> 2023</w:t>
      </w:r>
    </w:p>
    <w:p w14:paraId="5F23B94E" w14:textId="588AFE92" w:rsidR="002D458D" w:rsidRPr="009110B1" w:rsidRDefault="002D458D" w:rsidP="359F3E86">
      <w:pPr>
        <w:numPr>
          <w:ilvl w:val="0"/>
          <w:numId w:val="17"/>
        </w:numPr>
        <w:spacing w:after="0" w:line="240" w:lineRule="auto"/>
        <w:contextualSpacing/>
        <w:jc w:val="both"/>
        <w:rPr>
          <w:rFonts w:eastAsia="Calibri" w:cs="Calibri"/>
          <w:szCs w:val="22"/>
          <w:lang w:val="nl-BE"/>
        </w:rPr>
      </w:pPr>
      <w:r w:rsidRPr="009110B1">
        <w:rPr>
          <w:rFonts w:eastAsia="Calibri" w:cs="Calibri"/>
          <w:szCs w:val="22"/>
          <w:lang w:val="nl-BE"/>
        </w:rPr>
        <w:t xml:space="preserve">Eindrapport: </w:t>
      </w:r>
      <w:r>
        <w:tab/>
      </w:r>
      <w:r>
        <w:tab/>
      </w:r>
      <w:r>
        <w:tab/>
      </w:r>
      <w:r>
        <w:tab/>
      </w:r>
      <w:r w:rsidR="0076499B">
        <w:rPr>
          <w:rFonts w:eastAsia="Calibri" w:cs="Calibri"/>
          <w:szCs w:val="22"/>
          <w:lang w:val="nl-BE"/>
        </w:rPr>
        <w:t>oktober</w:t>
      </w:r>
      <w:r w:rsidR="0076499B" w:rsidRPr="009110B1">
        <w:rPr>
          <w:rFonts w:eastAsia="Calibri" w:cs="Calibri"/>
          <w:szCs w:val="22"/>
          <w:lang w:val="nl-BE"/>
        </w:rPr>
        <w:t xml:space="preserve"> </w:t>
      </w:r>
      <w:r w:rsidRPr="009110B1">
        <w:rPr>
          <w:rFonts w:eastAsia="Calibri" w:cs="Calibri"/>
          <w:szCs w:val="22"/>
          <w:lang w:val="nl-BE"/>
        </w:rPr>
        <w:t>2023</w:t>
      </w:r>
    </w:p>
    <w:p w14:paraId="7888BEF2" w14:textId="26D8ED0A" w:rsidR="002D458D" w:rsidRPr="009110B1" w:rsidRDefault="002D458D" w:rsidP="359F3E86">
      <w:pPr>
        <w:numPr>
          <w:ilvl w:val="0"/>
          <w:numId w:val="17"/>
        </w:numPr>
        <w:spacing w:after="0" w:line="240" w:lineRule="auto"/>
        <w:contextualSpacing/>
        <w:jc w:val="both"/>
        <w:rPr>
          <w:rFonts w:eastAsia="Calibri" w:cs="Calibri"/>
          <w:szCs w:val="22"/>
          <w:lang w:val="nl-BE"/>
        </w:rPr>
      </w:pPr>
      <w:r w:rsidRPr="009110B1">
        <w:rPr>
          <w:rFonts w:eastAsia="Calibri" w:cs="Calibri"/>
          <w:szCs w:val="22"/>
          <w:lang w:val="nl-BE"/>
        </w:rPr>
        <w:t>Restitutie:</w:t>
      </w:r>
      <w:r>
        <w:tab/>
      </w:r>
      <w:r>
        <w:tab/>
      </w:r>
      <w:r>
        <w:tab/>
      </w:r>
      <w:r>
        <w:tab/>
      </w:r>
      <w:r w:rsidR="0076499B">
        <w:rPr>
          <w:rFonts w:eastAsia="Calibri" w:cs="Calibri"/>
          <w:szCs w:val="22"/>
          <w:lang w:val="nl-BE"/>
        </w:rPr>
        <w:t>november</w:t>
      </w:r>
      <w:r w:rsidRPr="009110B1">
        <w:rPr>
          <w:rFonts w:eastAsia="Calibri" w:cs="Calibri"/>
          <w:szCs w:val="22"/>
          <w:lang w:val="nl-BE"/>
        </w:rPr>
        <w:t xml:space="preserve"> 2023</w:t>
      </w:r>
    </w:p>
    <w:p w14:paraId="10CBB8E0" w14:textId="31125369" w:rsidR="002D458D" w:rsidRPr="002D458D" w:rsidRDefault="002D458D" w:rsidP="002D458D">
      <w:pPr>
        <w:pStyle w:val="Vade-Mecum0"/>
        <w:rPr>
          <w:lang w:val="nl-BE"/>
        </w:rPr>
      </w:pPr>
    </w:p>
    <w:p w14:paraId="6A51380E" w14:textId="73779E54" w:rsidR="00016732" w:rsidRPr="007969EC" w:rsidRDefault="00016732" w:rsidP="00016732">
      <w:pPr>
        <w:pStyle w:val="Vade-mecumtitre1"/>
        <w:numPr>
          <w:ilvl w:val="0"/>
          <w:numId w:val="0"/>
        </w:numPr>
        <w:ind w:left="432" w:hanging="432"/>
        <w:rPr>
          <w:lang w:val="nl-NL"/>
        </w:rPr>
      </w:pPr>
      <w:bookmarkStart w:id="712" w:name="_Toc35550156"/>
      <w:bookmarkStart w:id="713" w:name="_Toc117601166"/>
      <w:r w:rsidRPr="00852C90">
        <w:t>B</w:t>
      </w:r>
      <w:r>
        <w:t>9</w:t>
      </w:r>
      <w:r w:rsidRPr="00852C90">
        <w:t>. Rollen en verantwoordelijkheden</w:t>
      </w:r>
      <w:bookmarkEnd w:id="712"/>
      <w:r>
        <w:t xml:space="preserve"> van het </w:t>
      </w:r>
      <w:r w:rsidRPr="007969EC">
        <w:rPr>
          <w:lang w:val="nl-NL"/>
        </w:rPr>
        <w:t>evaluatieteam</w:t>
      </w:r>
      <w:bookmarkEnd w:id="713"/>
    </w:p>
    <w:p w14:paraId="29D25B5C" w14:textId="3BAD1FD5" w:rsidR="00A231D6" w:rsidRPr="007969EC" w:rsidRDefault="00C43D88">
      <w:pPr>
        <w:pStyle w:val="Vade-mecumtitre2"/>
        <w:rPr>
          <w:lang w:val="nl-NL"/>
        </w:rPr>
      </w:pPr>
      <w:bookmarkStart w:id="714" w:name="_Toc117601167"/>
      <w:r w:rsidRPr="007969EC">
        <w:rPr>
          <w:lang w:val="nl-NL"/>
        </w:rPr>
        <w:t xml:space="preserve">B9.1 </w:t>
      </w:r>
      <w:r w:rsidR="00016732" w:rsidRPr="007969EC">
        <w:rPr>
          <w:lang w:val="nl-NL"/>
        </w:rPr>
        <w:t>Vereiste expertise en ervaring</w:t>
      </w:r>
      <w:bookmarkEnd w:id="714"/>
    </w:p>
    <w:p w14:paraId="38BE51F0" w14:textId="33E1CF07" w:rsidR="002676C9" w:rsidRPr="007969EC" w:rsidRDefault="002676C9" w:rsidP="002676C9">
      <w:pPr>
        <w:snapToGrid w:val="0"/>
        <w:spacing w:after="120" w:line="240" w:lineRule="auto"/>
        <w:jc w:val="both"/>
        <w:rPr>
          <w:lang w:val="nl-NL"/>
        </w:rPr>
      </w:pPr>
      <w:r w:rsidRPr="007969EC">
        <w:rPr>
          <w:lang w:val="nl-NL"/>
        </w:rPr>
        <w:t xml:space="preserve">Het evaluatieteam moet beschikken over voldoende expertise en ervaring in volgende gebieden: </w:t>
      </w:r>
    </w:p>
    <w:p w14:paraId="785A33D5" w14:textId="3A13953F" w:rsidR="002676C9" w:rsidRPr="007969EC" w:rsidRDefault="002676C9">
      <w:pPr>
        <w:numPr>
          <w:ilvl w:val="0"/>
          <w:numId w:val="5"/>
        </w:numPr>
        <w:snapToGrid w:val="0"/>
        <w:spacing w:after="120" w:line="240" w:lineRule="auto"/>
        <w:jc w:val="both"/>
        <w:rPr>
          <w:lang w:val="nl-NL"/>
        </w:rPr>
      </w:pPr>
      <w:r w:rsidRPr="007969EC">
        <w:rPr>
          <w:lang w:val="nl-NL"/>
        </w:rPr>
        <w:t>Ontwikkelings- en fragiliteitscontext</w:t>
      </w:r>
      <w:r w:rsidR="4B5F8489" w:rsidRPr="007969EC">
        <w:rPr>
          <w:lang w:val="nl-NL"/>
        </w:rPr>
        <w:t xml:space="preserve"> in het algemeen en in het bijzonder</w:t>
      </w:r>
      <w:r w:rsidRPr="007969EC">
        <w:rPr>
          <w:lang w:val="nl-NL"/>
        </w:rPr>
        <w:t xml:space="preserve"> in de voorgestelde landen voor deze evaluatie</w:t>
      </w:r>
    </w:p>
    <w:p w14:paraId="378375CE" w14:textId="0EE89030" w:rsidR="002676C9" w:rsidRPr="007969EC" w:rsidRDefault="002676C9">
      <w:pPr>
        <w:numPr>
          <w:ilvl w:val="0"/>
          <w:numId w:val="5"/>
        </w:numPr>
        <w:snapToGrid w:val="0"/>
        <w:spacing w:after="120" w:line="240" w:lineRule="auto"/>
        <w:jc w:val="both"/>
        <w:rPr>
          <w:lang w:val="nl-NL"/>
        </w:rPr>
      </w:pPr>
      <w:r w:rsidRPr="007969EC">
        <w:rPr>
          <w:lang w:val="nl-NL"/>
        </w:rPr>
        <w:t>Evaluatiemethodologie en aanpak in complexe gebieden</w:t>
      </w:r>
    </w:p>
    <w:p w14:paraId="494B2A64" w14:textId="0E7EFC26" w:rsidR="002676C9" w:rsidRPr="007969EC" w:rsidRDefault="002676C9">
      <w:pPr>
        <w:numPr>
          <w:ilvl w:val="0"/>
          <w:numId w:val="5"/>
        </w:numPr>
        <w:snapToGrid w:val="0"/>
        <w:spacing w:after="120" w:line="240" w:lineRule="auto"/>
        <w:jc w:val="both"/>
        <w:rPr>
          <w:lang w:val="nl-NL"/>
        </w:rPr>
      </w:pPr>
      <w:r w:rsidRPr="007969EC">
        <w:rPr>
          <w:lang w:val="nl-NL"/>
        </w:rPr>
        <w:t xml:space="preserve">Kennis van het institutionele Belgische systeem </w:t>
      </w:r>
      <w:r w:rsidR="51DC04E5" w:rsidRPr="007969EC">
        <w:rPr>
          <w:lang w:val="nl-NL"/>
        </w:rPr>
        <w:t>van ontwikkelingssamenwerking en buitenlands beleid</w:t>
      </w:r>
    </w:p>
    <w:p w14:paraId="63A60DE6" w14:textId="5D843427" w:rsidR="002676C9" w:rsidRPr="007969EC" w:rsidRDefault="002676C9">
      <w:pPr>
        <w:numPr>
          <w:ilvl w:val="0"/>
          <w:numId w:val="5"/>
        </w:numPr>
        <w:snapToGrid w:val="0"/>
        <w:spacing w:after="120" w:line="240" w:lineRule="auto"/>
        <w:jc w:val="both"/>
        <w:rPr>
          <w:lang w:val="nl-NL"/>
        </w:rPr>
      </w:pPr>
      <w:r w:rsidRPr="007969EC">
        <w:rPr>
          <w:lang w:val="nl-NL"/>
        </w:rPr>
        <w:t>Kennis van de internationale uitdagingen m.b.t. fragiliteit</w:t>
      </w:r>
    </w:p>
    <w:p w14:paraId="516770B8" w14:textId="2ED520F7" w:rsidR="00016732" w:rsidRPr="007969EC" w:rsidRDefault="002676C9">
      <w:pPr>
        <w:numPr>
          <w:ilvl w:val="0"/>
          <w:numId w:val="5"/>
        </w:numPr>
        <w:snapToGrid w:val="0"/>
        <w:spacing w:after="120" w:line="240" w:lineRule="auto"/>
        <w:jc w:val="both"/>
        <w:rPr>
          <w:lang w:val="nl-NL"/>
        </w:rPr>
      </w:pPr>
      <w:r w:rsidRPr="007969EC">
        <w:rPr>
          <w:lang w:val="nl-NL"/>
        </w:rPr>
        <w:t>Expertise in contextanalyse</w:t>
      </w:r>
    </w:p>
    <w:p w14:paraId="085C1DA9" w14:textId="7DB9F1C6" w:rsidR="00016732" w:rsidRPr="007969EC" w:rsidRDefault="00C43D88">
      <w:pPr>
        <w:pStyle w:val="Vade-mecumtitre2"/>
        <w:rPr>
          <w:lang w:val="nl-NL"/>
        </w:rPr>
      </w:pPr>
      <w:bookmarkStart w:id="715" w:name="_Toc117601168"/>
      <w:r w:rsidRPr="007969EC">
        <w:rPr>
          <w:lang w:val="nl-NL"/>
        </w:rPr>
        <w:t xml:space="preserve">B9.2 </w:t>
      </w:r>
      <w:r w:rsidR="00016732" w:rsidRPr="007969EC">
        <w:rPr>
          <w:lang w:val="nl-NL"/>
        </w:rPr>
        <w:t>Vereiste talenkennis</w:t>
      </w:r>
      <w:bookmarkEnd w:id="715"/>
    </w:p>
    <w:p w14:paraId="7C3D6D56" w14:textId="3E496E40" w:rsidR="00CB4DD5" w:rsidRPr="007969EC" w:rsidRDefault="006A25B4" w:rsidP="00804FAB">
      <w:pPr>
        <w:pStyle w:val="Vade-Mecum0"/>
        <w:spacing w:line="240" w:lineRule="auto"/>
        <w:jc w:val="both"/>
        <w:rPr>
          <w:highlight w:val="lightGray"/>
          <w:lang w:val="nl-NL"/>
        </w:rPr>
      </w:pPr>
      <w:r w:rsidRPr="007969EC">
        <w:rPr>
          <w:lang w:val="nl-NL"/>
        </w:rPr>
        <w:t>Een goede kennis van het Nederlands, het Frans en het Engels is vereist. Indien de teamleider niet beschikt over een goede kennis van het Nederlands of het Frans (niveau C2 van het Europese referentiekader), wordt hij minstens bijgestaan door een co-teamleider die over deze kennis beschikt. Voor een goed begrip van de documenten die zijn opgesteld door de Belgische administratie, moet minstens één kernlid van het evaluatieteam beschikken over kennis van respectievelijk Nederlands en Frans op moedertaalniveau (niveau C2 van het Europese referentiekader).  Ook de lokale talenkennis in geselecteerde partnerlanden dient in het team aanwezig te zijn.</w:t>
      </w:r>
    </w:p>
    <w:p w14:paraId="50EA9590" w14:textId="26A9DA17" w:rsidR="00016732" w:rsidRPr="007969EC" w:rsidRDefault="00C43D88">
      <w:pPr>
        <w:pStyle w:val="Vade-mecumtitre2"/>
        <w:rPr>
          <w:lang w:val="nl-BE"/>
        </w:rPr>
      </w:pPr>
      <w:bookmarkStart w:id="716" w:name="_Toc117601169"/>
      <w:r w:rsidRPr="007969EC">
        <w:rPr>
          <w:lang w:val="nl-BE"/>
        </w:rPr>
        <w:t xml:space="preserve">B9.3 </w:t>
      </w:r>
      <w:r w:rsidR="00016732" w:rsidRPr="007969EC">
        <w:rPr>
          <w:lang w:val="nl-BE"/>
        </w:rPr>
        <w:t>Samenstelling</w:t>
      </w:r>
      <w:bookmarkEnd w:id="716"/>
    </w:p>
    <w:p w14:paraId="2D90FA43" w14:textId="384C7FD4" w:rsidR="00CB4DD5" w:rsidRPr="007969EC" w:rsidRDefault="00A70CD1" w:rsidP="00A70CD1">
      <w:pPr>
        <w:pStyle w:val="Vade-Mecum0"/>
        <w:spacing w:line="240" w:lineRule="auto"/>
        <w:jc w:val="both"/>
        <w:rPr>
          <w:lang w:val="nl-BE"/>
        </w:rPr>
      </w:pPr>
      <w:r w:rsidRPr="007969EC">
        <w:rPr>
          <w:lang w:val="nl-BE"/>
        </w:rPr>
        <w:t>Genderevenwicht in het team wordt aangemoedigd. Hierbij kan gekeken worden naar de taakverdeling en het aantal voorziene werkdagen. Het evaluatieteam dient ook te steunen op expertise uit de partnerlanden zelf. Dit betekent een volwaardige rol als evaluator binnen het team en niet enkel als facilitator</w:t>
      </w:r>
      <w:r w:rsidR="3F1FDBE2" w:rsidRPr="007969EC">
        <w:rPr>
          <w:lang w:val="nl-BE"/>
        </w:rPr>
        <w:t xml:space="preserve"> van de terreinmissies</w:t>
      </w:r>
      <w:r w:rsidRPr="007969EC">
        <w:rPr>
          <w:lang w:val="nl-BE"/>
        </w:rPr>
        <w:t>.</w:t>
      </w:r>
    </w:p>
    <w:p w14:paraId="69D0C7B2" w14:textId="77777777" w:rsidR="008B0C0C" w:rsidRPr="007969EC" w:rsidRDefault="008B0C0C" w:rsidP="00A70CD1">
      <w:pPr>
        <w:pStyle w:val="Vade-Mecum0"/>
        <w:spacing w:line="240" w:lineRule="auto"/>
        <w:jc w:val="both"/>
        <w:rPr>
          <w:lang w:val="nl-BE"/>
        </w:rPr>
      </w:pPr>
    </w:p>
    <w:p w14:paraId="066AB9DC" w14:textId="0FD919CA" w:rsidR="00A7448E" w:rsidRPr="007969EC" w:rsidRDefault="00C43D88">
      <w:pPr>
        <w:pStyle w:val="Vade-mecumtitre2"/>
        <w:rPr>
          <w:lang w:val="nl-BE"/>
        </w:rPr>
      </w:pPr>
      <w:bookmarkStart w:id="717" w:name="_Toc117601170"/>
      <w:r w:rsidRPr="007969EC">
        <w:rPr>
          <w:lang w:val="nl-BE"/>
        </w:rPr>
        <w:lastRenderedPageBreak/>
        <w:t xml:space="preserve">B9.4 </w:t>
      </w:r>
      <w:r w:rsidR="00016732" w:rsidRPr="007969EC">
        <w:rPr>
          <w:lang w:val="nl-BE"/>
        </w:rPr>
        <w:t>Constructieve opstelling</w:t>
      </w:r>
      <w:bookmarkEnd w:id="717"/>
    </w:p>
    <w:p w14:paraId="5278A5DB" w14:textId="1BF19AD5" w:rsidR="00016732" w:rsidRPr="007969EC" w:rsidRDefault="00F87477" w:rsidP="00016732">
      <w:pPr>
        <w:snapToGrid w:val="0"/>
        <w:spacing w:after="120" w:line="240" w:lineRule="auto"/>
        <w:jc w:val="both"/>
        <w:rPr>
          <w:lang w:val="nl-BE"/>
        </w:rPr>
      </w:pPr>
      <w:r w:rsidRPr="007969EC">
        <w:rPr>
          <w:lang w:val="nl-BE"/>
        </w:rPr>
        <w:t>DBE is van oordeel dat het gebruik van een evaluatie mee afhangt van het verloop van het evaluatieproces en de graad van constructieve participatie van de verschillende betrokken actoren</w:t>
      </w:r>
      <w:r w:rsidR="00C64D48">
        <w:rPr>
          <w:lang w:val="nl-BE"/>
        </w:rPr>
        <w:t>.</w:t>
      </w:r>
    </w:p>
    <w:p w14:paraId="29CAAA94" w14:textId="2BA9DE6D" w:rsidR="00C43D88" w:rsidRPr="007969EC" w:rsidRDefault="00C43D88" w:rsidP="00C43D88">
      <w:pPr>
        <w:pStyle w:val="Vade-mecumtitre1"/>
        <w:numPr>
          <w:ilvl w:val="0"/>
          <w:numId w:val="0"/>
        </w:numPr>
        <w:ind w:left="432" w:hanging="432"/>
      </w:pPr>
      <w:bookmarkStart w:id="718" w:name="_Toc113544500"/>
      <w:bookmarkStart w:id="719" w:name="_Toc114066807"/>
      <w:bookmarkStart w:id="720" w:name="_Toc117601171"/>
      <w:r w:rsidRPr="007969EC">
        <w:t>B10.</w:t>
      </w:r>
      <w:bookmarkEnd w:id="718"/>
      <w:bookmarkEnd w:id="719"/>
      <w:r w:rsidRPr="007969EC">
        <w:t xml:space="preserve"> Beheer van de evaluatie</w:t>
      </w:r>
      <w:bookmarkEnd w:id="720"/>
    </w:p>
    <w:p w14:paraId="5EFEBEAA" w14:textId="3899B9BB" w:rsidR="00C43D88" w:rsidRPr="007969EC" w:rsidRDefault="00C43D88">
      <w:pPr>
        <w:pStyle w:val="Vade-mecumtitre2"/>
        <w:rPr>
          <w:lang w:val="nl-BE"/>
        </w:rPr>
      </w:pPr>
      <w:bookmarkStart w:id="721" w:name="_Toc115882692"/>
      <w:bookmarkStart w:id="722" w:name="_Toc117601172"/>
      <w:r w:rsidRPr="007969EC">
        <w:rPr>
          <w:lang w:val="nl-BE"/>
        </w:rPr>
        <w:t>B1</w:t>
      </w:r>
      <w:r w:rsidR="006F2210" w:rsidRPr="007969EC">
        <w:rPr>
          <w:lang w:val="nl-BE"/>
        </w:rPr>
        <w:t>0</w:t>
      </w:r>
      <w:r w:rsidRPr="007969EC">
        <w:rPr>
          <w:lang w:val="nl-BE"/>
        </w:rPr>
        <w:t>.1 DBE – Leidende ambtenaar</w:t>
      </w:r>
      <w:bookmarkEnd w:id="721"/>
      <w:bookmarkEnd w:id="722"/>
    </w:p>
    <w:p w14:paraId="7424EF83" w14:textId="32A8E942" w:rsidR="00891B03" w:rsidRPr="007969EC" w:rsidRDefault="00891B03" w:rsidP="00891B03">
      <w:pPr>
        <w:snapToGrid w:val="0"/>
        <w:spacing w:after="120" w:line="240" w:lineRule="auto"/>
        <w:jc w:val="both"/>
        <w:rPr>
          <w:lang w:val="nl-BE"/>
        </w:rPr>
      </w:pPr>
      <w:r w:rsidRPr="007969EC">
        <w:rPr>
          <w:lang w:val="nl-BE"/>
        </w:rPr>
        <w:t xml:space="preserve">De Dienst Bijzondere Evaluatie (DBE) is belast met de lancering van de evaluatie en met de administratieve omkadering. De dienst vertegenwoordigt de aanbestedende overheid en duidt de leidende ambtenaar voor de evaluatie aan. In die hoedanigheid controleert de leidende ambtenaar de conformiteit van de evaluatie (op basis van het wettelijk kader en het bestek), maar ook de kwaliteit van het proces en de resultaten van de evaluatie.  </w:t>
      </w:r>
    </w:p>
    <w:p w14:paraId="6DE563DC" w14:textId="48055758" w:rsidR="006F2210" w:rsidRPr="007969EC" w:rsidRDefault="00891B03" w:rsidP="00891B03">
      <w:pPr>
        <w:snapToGrid w:val="0"/>
        <w:spacing w:after="120" w:line="240" w:lineRule="auto"/>
        <w:jc w:val="both"/>
        <w:rPr>
          <w:lang w:val="nl-BE"/>
        </w:rPr>
      </w:pPr>
      <w:r w:rsidRPr="007969EC">
        <w:rPr>
          <w:lang w:val="nl-BE"/>
        </w:rPr>
        <w:t>De leidende ambtenaar beheert het volledige evaluatieproces, van begin tot einde. DBE, in de hoedanigheid van aanbestedende overheid, is als enige verantwoordelijk voor de leiding van het evaluatieproces.</w:t>
      </w:r>
    </w:p>
    <w:p w14:paraId="6DF92577" w14:textId="5359272C" w:rsidR="00C43D88" w:rsidRPr="007969EC" w:rsidRDefault="00C43D88">
      <w:pPr>
        <w:pStyle w:val="Vade-mecumtitre2"/>
        <w:rPr>
          <w:lang w:val="nl-BE"/>
        </w:rPr>
      </w:pPr>
      <w:bookmarkStart w:id="723" w:name="_Toc113544501"/>
      <w:bookmarkStart w:id="724" w:name="_Toc114066808"/>
      <w:bookmarkStart w:id="725" w:name="_Toc115882693"/>
      <w:bookmarkStart w:id="726" w:name="_Toc117601173"/>
      <w:r w:rsidRPr="007969EC">
        <w:rPr>
          <w:lang w:val="nl-BE"/>
        </w:rPr>
        <w:t>B1</w:t>
      </w:r>
      <w:r w:rsidR="00AF0C6C" w:rsidRPr="007969EC">
        <w:rPr>
          <w:lang w:val="nl-BE"/>
        </w:rPr>
        <w:t>0</w:t>
      </w:r>
      <w:r w:rsidRPr="007969EC">
        <w:rPr>
          <w:lang w:val="nl-BE"/>
        </w:rPr>
        <w:t>.2 Betrokken actoren</w:t>
      </w:r>
      <w:bookmarkEnd w:id="723"/>
      <w:bookmarkEnd w:id="724"/>
      <w:bookmarkEnd w:id="725"/>
      <w:bookmarkEnd w:id="726"/>
    </w:p>
    <w:p w14:paraId="3121B6CA" w14:textId="512CF2FF" w:rsidR="00AF0C6C" w:rsidRPr="007969EC" w:rsidRDefault="00AF0C6C" w:rsidP="00AF0C6C">
      <w:pPr>
        <w:snapToGrid w:val="0"/>
        <w:spacing w:after="120" w:line="240" w:lineRule="auto"/>
        <w:jc w:val="both"/>
        <w:rPr>
          <w:lang w:val="nl-BE"/>
        </w:rPr>
      </w:pPr>
      <w:bookmarkStart w:id="727" w:name="_Toc113544502"/>
      <w:bookmarkStart w:id="728" w:name="_Toc114066809"/>
      <w:bookmarkStart w:id="729" w:name="_Toc115882694"/>
      <w:r w:rsidRPr="007969EC">
        <w:rPr>
          <w:lang w:val="nl-BE"/>
        </w:rPr>
        <w:t xml:space="preserve">De betrokken actoren (stakeholders) zijn individuen, groepen of organisaties die rechtstreekse of onrechtstreekse verantwoordelijkheden en/of belangen hebben binnen de doelstelling van de evaluatie (beleid, project, programma, sector, land, etc). Ze worden op bepaalde momenten in de evaluatie geraadpleegd (via interviews, vragenlijsten, focusgroepen, etc.). </w:t>
      </w:r>
    </w:p>
    <w:p w14:paraId="68DE901C" w14:textId="332895A8" w:rsidR="00C43D88" w:rsidRPr="007969EC" w:rsidRDefault="00C43D88">
      <w:pPr>
        <w:pStyle w:val="Vade-mecumtitre2"/>
        <w:rPr>
          <w:lang w:val="nl-BE"/>
        </w:rPr>
      </w:pPr>
      <w:bookmarkStart w:id="730" w:name="_Toc117601174"/>
      <w:r w:rsidRPr="007969EC">
        <w:rPr>
          <w:lang w:val="nl-BE"/>
        </w:rPr>
        <w:t>B1</w:t>
      </w:r>
      <w:r w:rsidR="00AF0C6C" w:rsidRPr="007969EC">
        <w:rPr>
          <w:lang w:val="nl-BE"/>
        </w:rPr>
        <w:t>0</w:t>
      </w:r>
      <w:r w:rsidRPr="007969EC">
        <w:rPr>
          <w:lang w:val="nl-BE"/>
        </w:rPr>
        <w:t>.3 Begeleidingscomité</w:t>
      </w:r>
      <w:bookmarkEnd w:id="727"/>
      <w:bookmarkEnd w:id="728"/>
      <w:bookmarkEnd w:id="729"/>
      <w:bookmarkEnd w:id="730"/>
    </w:p>
    <w:p w14:paraId="04359649" w14:textId="10AE7DCA" w:rsidR="00D13763" w:rsidRPr="007969EC" w:rsidRDefault="00D13763" w:rsidP="00D13763">
      <w:pPr>
        <w:snapToGrid w:val="0"/>
        <w:spacing w:after="120" w:line="240" w:lineRule="auto"/>
        <w:jc w:val="both"/>
        <w:rPr>
          <w:lang w:val="nl-BE"/>
        </w:rPr>
      </w:pPr>
      <w:r w:rsidRPr="007969EC">
        <w:rPr>
          <w:lang w:val="nl-BE"/>
        </w:rPr>
        <w:t xml:space="preserve">DBE stelt een begeleidingscomité samen dat bestaat uit de verschillende bij de evaluatie betrokken actoren en mogelijk onafhankelijke experts. Het comité levert advies over zowel de voorgestelde methodologische aanpak als over de bevindingen, conclusies en aanbevelingen die voortvloeien uit de evaluatie. </w:t>
      </w:r>
    </w:p>
    <w:p w14:paraId="16D32CCA" w14:textId="0C45AF9B" w:rsidR="00D13763" w:rsidRPr="007969EC" w:rsidRDefault="00D13763" w:rsidP="00D13763">
      <w:pPr>
        <w:snapToGrid w:val="0"/>
        <w:spacing w:after="120" w:line="240" w:lineRule="auto"/>
        <w:jc w:val="both"/>
        <w:rPr>
          <w:lang w:val="nl-BE"/>
        </w:rPr>
      </w:pPr>
      <w:r w:rsidRPr="007969EC">
        <w:rPr>
          <w:lang w:val="nl-BE"/>
        </w:rPr>
        <w:t xml:space="preserve">Het begeleidingscomité zal minstens vier keer samenkomen: naar aanleiding van (i) de methodologische nota, (ii) de mapping, (iii) de landenrapporten, en (iv) het voorlopig eindrapport. </w:t>
      </w:r>
    </w:p>
    <w:p w14:paraId="3E186603" w14:textId="51351D78" w:rsidR="000E6BC1" w:rsidRDefault="00D13763" w:rsidP="00D13763">
      <w:pPr>
        <w:snapToGrid w:val="0"/>
        <w:spacing w:after="120" w:line="240" w:lineRule="auto"/>
        <w:jc w:val="both"/>
        <w:rPr>
          <w:lang w:val="nl-BE"/>
        </w:rPr>
      </w:pPr>
      <w:r w:rsidRPr="007969EC">
        <w:rPr>
          <w:lang w:val="nl-BE"/>
        </w:rPr>
        <w:t>DBE zit het begeleidingscomité voor en staat verder in voor de algemene supervisie van de evaluatieopdracht en voor de definitieve goedkeuring van de resultaten van de evaluatie.</w:t>
      </w:r>
    </w:p>
    <w:p w14:paraId="7DB85A29" w14:textId="760A9666" w:rsidR="00764B3E" w:rsidRDefault="00764B3E" w:rsidP="00D13763">
      <w:pPr>
        <w:snapToGrid w:val="0"/>
        <w:spacing w:after="120" w:line="240" w:lineRule="auto"/>
        <w:jc w:val="both"/>
        <w:rPr>
          <w:lang w:val="nl-BE"/>
        </w:rPr>
      </w:pPr>
    </w:p>
    <w:p w14:paraId="0F38AFF5" w14:textId="7E12ADB0" w:rsidR="00764B3E" w:rsidRDefault="00764B3E" w:rsidP="00D13763">
      <w:pPr>
        <w:snapToGrid w:val="0"/>
        <w:spacing w:after="120" w:line="240" w:lineRule="auto"/>
        <w:jc w:val="both"/>
        <w:rPr>
          <w:lang w:val="nl-BE"/>
        </w:rPr>
      </w:pPr>
    </w:p>
    <w:p w14:paraId="2D9E38D7" w14:textId="76D059B8" w:rsidR="00764B3E" w:rsidRDefault="00764B3E" w:rsidP="00D13763">
      <w:pPr>
        <w:snapToGrid w:val="0"/>
        <w:spacing w:after="120" w:line="240" w:lineRule="auto"/>
        <w:jc w:val="both"/>
        <w:rPr>
          <w:lang w:val="nl-BE"/>
        </w:rPr>
      </w:pPr>
    </w:p>
    <w:p w14:paraId="320ED11F" w14:textId="10A20584" w:rsidR="00764B3E" w:rsidRDefault="00764B3E" w:rsidP="00D13763">
      <w:pPr>
        <w:snapToGrid w:val="0"/>
        <w:spacing w:after="120" w:line="240" w:lineRule="auto"/>
        <w:jc w:val="both"/>
        <w:rPr>
          <w:lang w:val="nl-BE"/>
        </w:rPr>
      </w:pPr>
    </w:p>
    <w:p w14:paraId="32BA5665" w14:textId="77777777" w:rsidR="00764B3E" w:rsidRPr="007969EC" w:rsidRDefault="00764B3E" w:rsidP="00D13763">
      <w:pPr>
        <w:snapToGrid w:val="0"/>
        <w:spacing w:after="120" w:line="240" w:lineRule="auto"/>
        <w:jc w:val="both"/>
        <w:rPr>
          <w:lang w:val="nl-BE"/>
        </w:rPr>
      </w:pPr>
    </w:p>
    <w:p w14:paraId="7464D645" w14:textId="0FA8484A" w:rsidR="00852C90" w:rsidRDefault="00406C79" w:rsidP="00406C79">
      <w:pPr>
        <w:pStyle w:val="Vade-mecumtitre1"/>
        <w:numPr>
          <w:ilvl w:val="0"/>
          <w:numId w:val="0"/>
        </w:numPr>
        <w:ind w:left="432" w:hanging="432"/>
      </w:pPr>
      <w:bookmarkStart w:id="731" w:name="_Toc115882687"/>
      <w:bookmarkStart w:id="732" w:name="_Toc117601175"/>
      <w:bookmarkStart w:id="733" w:name="_Toc450715831"/>
      <w:bookmarkStart w:id="734" w:name="_Toc29741231"/>
      <w:r>
        <w:lastRenderedPageBreak/>
        <w:t>B</w:t>
      </w:r>
      <w:r w:rsidR="00AC7230">
        <w:t>1</w:t>
      </w:r>
      <w:r w:rsidR="00916411">
        <w:t>1</w:t>
      </w:r>
      <w:r>
        <w:t>.</w:t>
      </w:r>
      <w:r w:rsidR="00AC7230">
        <w:t xml:space="preserve"> Formaat en talen</w:t>
      </w:r>
      <w:bookmarkEnd w:id="731"/>
      <w:bookmarkEnd w:id="732"/>
    </w:p>
    <w:p w14:paraId="07FB3370" w14:textId="666131EC" w:rsidR="004202A9" w:rsidRPr="004202A9" w:rsidRDefault="004202A9">
      <w:pPr>
        <w:pStyle w:val="Vade-mecumtitre2"/>
      </w:pPr>
      <w:bookmarkStart w:id="735" w:name="_Toc117601176"/>
      <w:r>
        <w:t>B11.1 Taal van de rapporten</w:t>
      </w:r>
      <w:bookmarkEnd w:id="735"/>
    </w:p>
    <w:p w14:paraId="4AF0F97F" w14:textId="6F54FD46" w:rsidR="004202A9" w:rsidRDefault="004202A9" w:rsidP="79A775EF">
      <w:pPr>
        <w:spacing w:after="0" w:line="240" w:lineRule="auto"/>
        <w:jc w:val="both"/>
        <w:textAlignment w:val="baseline"/>
        <w:rPr>
          <w:rFonts w:eastAsia="Times New Roman" w:cs="Segoe UI"/>
          <w:lang w:val="nl-NL"/>
        </w:rPr>
      </w:pPr>
      <w:r w:rsidRPr="79A775EF">
        <w:rPr>
          <w:rFonts w:eastAsia="Times New Roman" w:cs="Segoe UI"/>
          <w:lang w:val="nl-NL"/>
        </w:rPr>
        <w:t>Alle documenten worden opgesteld in het Nederlands,</w:t>
      </w:r>
      <w:r w:rsidRPr="79A775EF">
        <w:rPr>
          <w:rFonts w:eastAsia="Times New Roman" w:cs="Segoe UI"/>
          <w:b/>
          <w:bCs/>
          <w:lang w:val="nl-NL"/>
        </w:rPr>
        <w:t xml:space="preserve"> </w:t>
      </w:r>
      <w:r w:rsidRPr="79A775EF">
        <w:rPr>
          <w:rFonts w:eastAsia="Times New Roman" w:cs="Segoe UI"/>
          <w:lang w:val="nl-NL"/>
        </w:rPr>
        <w:t>het Frans of het Engels. Het eindverslag wordt opgesteld in het Engels, het Frans of het Nederlands, en bevat ook een samenvatting in de twee andere talen. In de samenvatting zullen de belangrijkste conclusies en aanbevelingen uitgelegd en beargumenteerd worden.  </w:t>
      </w:r>
    </w:p>
    <w:p w14:paraId="569529D7" w14:textId="77777777" w:rsidR="004202A9" w:rsidRPr="004202A9" w:rsidRDefault="004202A9" w:rsidP="004202A9">
      <w:pPr>
        <w:spacing w:after="0" w:line="240" w:lineRule="auto"/>
        <w:jc w:val="both"/>
        <w:textAlignment w:val="baseline"/>
        <w:rPr>
          <w:rFonts w:eastAsia="Times New Roman" w:cs="Segoe UI"/>
          <w:szCs w:val="22"/>
          <w:lang w:val="nl-NL"/>
        </w:rPr>
      </w:pPr>
    </w:p>
    <w:p w14:paraId="19A0649E" w14:textId="63A655AC" w:rsidR="004202A9" w:rsidRDefault="004202A9" w:rsidP="79A775EF">
      <w:pPr>
        <w:shd w:val="clear" w:color="auto" w:fill="FDFDFD"/>
        <w:spacing w:after="0" w:line="240" w:lineRule="auto"/>
        <w:jc w:val="both"/>
        <w:textAlignment w:val="baseline"/>
        <w:rPr>
          <w:rFonts w:eastAsia="Times New Roman" w:cs="Segoe UI"/>
          <w:lang w:val="nl-NL"/>
        </w:rPr>
      </w:pPr>
      <w:r w:rsidRPr="79A775EF">
        <w:rPr>
          <w:rFonts w:eastAsia="Times New Roman" w:cs="Segoe UI"/>
          <w:lang w:val="nl-NL"/>
        </w:rPr>
        <w:t>De landenrapporten moeten opgesteld worden in de meest geschikte internationale taal voor het partnerland.</w:t>
      </w:r>
    </w:p>
    <w:p w14:paraId="5E35FF8A" w14:textId="77777777" w:rsidR="004202A9" w:rsidRPr="004202A9" w:rsidRDefault="004202A9" w:rsidP="004202A9">
      <w:pPr>
        <w:shd w:val="clear" w:color="auto" w:fill="FDFDFD"/>
        <w:spacing w:after="0" w:line="240" w:lineRule="auto"/>
        <w:jc w:val="both"/>
        <w:textAlignment w:val="baseline"/>
        <w:rPr>
          <w:rFonts w:eastAsia="Times New Roman" w:cs="Segoe UI"/>
          <w:szCs w:val="22"/>
          <w:lang w:val="nl-NL"/>
        </w:rPr>
      </w:pPr>
    </w:p>
    <w:p w14:paraId="3940AEF5" w14:textId="77777777" w:rsidR="004202A9" w:rsidRPr="004202A9" w:rsidRDefault="004202A9" w:rsidP="004202A9">
      <w:p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Het eindrapport moet gelezen en begrepen kunnen worden door een breed publiek. </w:t>
      </w:r>
    </w:p>
    <w:p w14:paraId="0184B145" w14:textId="77777777" w:rsidR="004202A9" w:rsidRPr="004202A9" w:rsidRDefault="004202A9" w:rsidP="004202A9">
      <w:p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 </w:t>
      </w:r>
    </w:p>
    <w:p w14:paraId="5A914363" w14:textId="16DBFD49" w:rsidR="004202A9" w:rsidRPr="00C64D48" w:rsidRDefault="004202A9">
      <w:pPr>
        <w:pStyle w:val="Vade-mecumtitre2"/>
        <w:rPr>
          <w:lang w:val="nl-BE"/>
        </w:rPr>
      </w:pPr>
      <w:bookmarkStart w:id="736" w:name="_Toc117601177"/>
      <w:r w:rsidRPr="00C64D48">
        <w:rPr>
          <w:lang w:val="nl-BE"/>
        </w:rPr>
        <w:t>B11.2 Lengte van de rapporten</w:t>
      </w:r>
      <w:bookmarkEnd w:id="736"/>
    </w:p>
    <w:p w14:paraId="11D303F6" w14:textId="5CAA1069" w:rsidR="004202A9" w:rsidRDefault="004202A9" w:rsidP="004202A9">
      <w:p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Evaluatieprocessen vragen een significante tijdsinvestering van de betrokken actoren. Het is dan ook belangrijk de lengte van de verschillende rapporten te begrenzen:</w:t>
      </w:r>
    </w:p>
    <w:p w14:paraId="03446C35" w14:textId="77777777" w:rsidR="007A2F57" w:rsidRPr="004202A9" w:rsidRDefault="007A2F57" w:rsidP="004202A9">
      <w:pPr>
        <w:shd w:val="clear" w:color="auto" w:fill="FDFDFD"/>
        <w:spacing w:after="0" w:line="240" w:lineRule="auto"/>
        <w:jc w:val="both"/>
        <w:textAlignment w:val="baseline"/>
        <w:rPr>
          <w:rFonts w:eastAsia="Times New Roman" w:cs="Segoe UI"/>
          <w:szCs w:val="22"/>
          <w:lang w:val="nl-NL"/>
        </w:rPr>
      </w:pPr>
    </w:p>
    <w:p w14:paraId="674BAEE2" w14:textId="77777777" w:rsidR="004202A9" w:rsidRPr="004202A9" w:rsidRDefault="004202A9">
      <w:pPr>
        <w:numPr>
          <w:ilvl w:val="0"/>
          <w:numId w:val="18"/>
        </w:num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De methodologische nota telt maximum 30 bladzijden</w:t>
      </w:r>
    </w:p>
    <w:p w14:paraId="5D810EFC" w14:textId="77777777" w:rsidR="004202A9" w:rsidRPr="004202A9" w:rsidRDefault="004202A9">
      <w:pPr>
        <w:numPr>
          <w:ilvl w:val="0"/>
          <w:numId w:val="18"/>
        </w:num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De mapping telt maximum 50 bladzijden</w:t>
      </w:r>
    </w:p>
    <w:p w14:paraId="3B28AF31" w14:textId="77777777" w:rsidR="004202A9" w:rsidRPr="004202A9" w:rsidRDefault="004202A9">
      <w:pPr>
        <w:numPr>
          <w:ilvl w:val="0"/>
          <w:numId w:val="18"/>
        </w:num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De landenrapporten tellen maximum 40 bladzijden</w:t>
      </w:r>
    </w:p>
    <w:p w14:paraId="22D5B5E2" w14:textId="77777777" w:rsidR="004202A9" w:rsidRPr="004202A9" w:rsidRDefault="004202A9">
      <w:pPr>
        <w:numPr>
          <w:ilvl w:val="0"/>
          <w:numId w:val="18"/>
        </w:num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Het eindrapport telt maximum 60 bladzijden</w:t>
      </w:r>
    </w:p>
    <w:p w14:paraId="7BAF52B9" w14:textId="77777777" w:rsidR="004202A9" w:rsidRPr="004202A9" w:rsidRDefault="004202A9">
      <w:pPr>
        <w:numPr>
          <w:ilvl w:val="0"/>
          <w:numId w:val="18"/>
        </w:num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De samenvattingen van het eindrapport tellen maximum 8 bladzijden, illustraties inbegrepen. De samenvattingen zijn een leesbaar document, toegankelijk voor een breed publiek. De samenvattingen zijn documenten die op zichtzelf staan, en niet louter een copy paste zijn van de conclusies en aanbevelingen.</w:t>
      </w:r>
    </w:p>
    <w:p w14:paraId="1005892F" w14:textId="77777777" w:rsidR="004202A9" w:rsidRPr="004202A9" w:rsidRDefault="004202A9" w:rsidP="004202A9">
      <w:pPr>
        <w:shd w:val="clear" w:color="auto" w:fill="FDFDFD"/>
        <w:spacing w:after="0" w:line="240" w:lineRule="auto"/>
        <w:jc w:val="both"/>
        <w:textAlignment w:val="baseline"/>
        <w:rPr>
          <w:rFonts w:eastAsia="Times New Roman" w:cs="Segoe UI"/>
          <w:szCs w:val="22"/>
          <w:lang w:val="nl-NL"/>
        </w:rPr>
      </w:pPr>
    </w:p>
    <w:p w14:paraId="16B42AD6" w14:textId="614924DB" w:rsidR="004202A9" w:rsidRPr="004202A9" w:rsidRDefault="004202A9" w:rsidP="004202A9">
      <w:p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De bijlagen zijn niet gehouden aan deze limieten. </w:t>
      </w:r>
    </w:p>
    <w:p w14:paraId="3FB218E6" w14:textId="77777777" w:rsidR="004202A9" w:rsidRPr="004202A9" w:rsidRDefault="004202A9" w:rsidP="004202A9">
      <w:pPr>
        <w:shd w:val="clear" w:color="auto" w:fill="FDFDFD"/>
        <w:spacing w:after="0" w:line="240" w:lineRule="auto"/>
        <w:jc w:val="both"/>
        <w:textAlignment w:val="baseline"/>
        <w:rPr>
          <w:rFonts w:eastAsia="Times New Roman" w:cs="Segoe UI"/>
          <w:szCs w:val="22"/>
          <w:lang w:val="nl-NL"/>
        </w:rPr>
      </w:pPr>
      <w:r w:rsidRPr="004202A9">
        <w:rPr>
          <w:rFonts w:eastAsia="Times New Roman" w:cs="Segoe UI"/>
          <w:szCs w:val="22"/>
          <w:lang w:val="nl-NL"/>
        </w:rPr>
        <w:t xml:space="preserve">Er worden foto’s voorzien ter illustratie van de landenrapporten en eindrapport/coverfoto. </w:t>
      </w:r>
    </w:p>
    <w:p w14:paraId="2E71F444" w14:textId="77777777" w:rsidR="004202A9" w:rsidRPr="007969EC" w:rsidRDefault="004202A9" w:rsidP="004202A9">
      <w:pPr>
        <w:shd w:val="clear" w:color="auto" w:fill="FDFDFD"/>
        <w:spacing w:after="0" w:line="240" w:lineRule="auto"/>
        <w:jc w:val="both"/>
        <w:textAlignment w:val="baseline"/>
        <w:rPr>
          <w:rFonts w:eastAsia="Times New Roman" w:cs="Segoe UI"/>
          <w:szCs w:val="22"/>
          <w:lang w:val="nl-BE"/>
        </w:rPr>
      </w:pPr>
    </w:p>
    <w:p w14:paraId="64B49DD5" w14:textId="77777777" w:rsidR="004202A9" w:rsidRPr="007969EC" w:rsidRDefault="004202A9" w:rsidP="004202A9">
      <w:pPr>
        <w:shd w:val="clear" w:color="auto" w:fill="FDFDFD"/>
        <w:spacing w:after="0" w:line="240" w:lineRule="auto"/>
        <w:jc w:val="both"/>
        <w:textAlignment w:val="baseline"/>
        <w:rPr>
          <w:rFonts w:eastAsia="Times New Roman" w:cs="Segoe UI"/>
          <w:szCs w:val="22"/>
          <w:lang w:val="nl-BE"/>
        </w:rPr>
      </w:pPr>
      <w:r w:rsidRPr="007969EC">
        <w:rPr>
          <w:rFonts w:eastAsia="Times New Roman" w:cs="Segoe UI"/>
          <w:b/>
          <w:bCs/>
          <w:szCs w:val="22"/>
          <w:lang w:val="nl-BE"/>
        </w:rPr>
        <w:t>Inhoudelijke richtlijnen en l</w:t>
      </w:r>
      <w:r w:rsidRPr="007969EC">
        <w:rPr>
          <w:rFonts w:eastAsia="Times New Roman" w:cs="Segoe UI"/>
          <w:b/>
          <w:szCs w:val="22"/>
          <w:lang w:val="nl-BE"/>
        </w:rPr>
        <w:t>ay-out instructies voor de verschillende rapporten worden door de Dienst Bijzondere Evaluatie aangeleverd bij de opstart van de evaluatie. </w:t>
      </w:r>
      <w:r w:rsidRPr="007969EC">
        <w:rPr>
          <w:rFonts w:eastAsia="Times New Roman" w:cs="Segoe UI"/>
          <w:szCs w:val="22"/>
          <w:lang w:val="nl-BE"/>
        </w:rPr>
        <w:t> </w:t>
      </w:r>
    </w:p>
    <w:p w14:paraId="40C55438" w14:textId="109C1504" w:rsidR="00852C90" w:rsidRPr="007969EC" w:rsidRDefault="00860C8E" w:rsidP="007F7062">
      <w:pPr>
        <w:pStyle w:val="Vade-mecumtitre1"/>
        <w:numPr>
          <w:ilvl w:val="0"/>
          <w:numId w:val="0"/>
        </w:numPr>
        <w:ind w:left="432" w:hanging="432"/>
      </w:pPr>
      <w:bookmarkStart w:id="737" w:name="_Toc450715832"/>
      <w:bookmarkStart w:id="738" w:name="_Toc29741232"/>
      <w:bookmarkStart w:id="739" w:name="_Toc35550157"/>
      <w:bookmarkStart w:id="740" w:name="_Toc117601178"/>
      <w:bookmarkEnd w:id="733"/>
      <w:bookmarkEnd w:id="734"/>
      <w:r w:rsidRPr="007969EC">
        <w:t>B</w:t>
      </w:r>
      <w:r w:rsidR="00852C90" w:rsidRPr="007969EC">
        <w:t>1</w:t>
      </w:r>
      <w:r w:rsidR="00F13695" w:rsidRPr="007969EC">
        <w:t>2</w:t>
      </w:r>
      <w:r w:rsidR="00852C90" w:rsidRPr="007969EC">
        <w:t>. Offertevereisten</w:t>
      </w:r>
      <w:bookmarkEnd w:id="737"/>
      <w:bookmarkEnd w:id="738"/>
      <w:bookmarkEnd w:id="739"/>
      <w:bookmarkEnd w:id="740"/>
    </w:p>
    <w:p w14:paraId="6D3CB511" w14:textId="113E15CD" w:rsidR="00852C90" w:rsidRPr="007969EC" w:rsidRDefault="00AF0582" w:rsidP="00852C90">
      <w:pPr>
        <w:snapToGrid w:val="0"/>
        <w:spacing w:after="120" w:line="240" w:lineRule="auto"/>
        <w:jc w:val="both"/>
        <w:rPr>
          <w:highlight w:val="lightGray"/>
          <w:lang w:val="nl-BE"/>
        </w:rPr>
      </w:pPr>
      <w:r w:rsidRPr="007969EC">
        <w:rPr>
          <w:lang w:val="nl-BE"/>
        </w:rPr>
        <w:t>Er wordt gevraagd om een offerte in te dienen met zowel een financieel als een technisch luik.  Ook voor de opmaak van de offerte wordt de capaciteit van de indiener om duidelijke en beknopte documenten op te maken gewaardeerd.</w:t>
      </w:r>
    </w:p>
    <w:p w14:paraId="5E86F491" w14:textId="2BB871B5" w:rsidR="007E67F4" w:rsidRPr="007969EC" w:rsidRDefault="007E67F4">
      <w:pPr>
        <w:pStyle w:val="Vade-mecumtitre2"/>
        <w:rPr>
          <w:lang w:val="nl-BE"/>
        </w:rPr>
      </w:pPr>
      <w:bookmarkStart w:id="741" w:name="_Toc115882696"/>
      <w:bookmarkStart w:id="742" w:name="_Toc117601179"/>
      <w:r w:rsidRPr="007969EC">
        <w:rPr>
          <w:lang w:val="nl-BE"/>
        </w:rPr>
        <w:t>B1</w:t>
      </w:r>
      <w:r w:rsidR="4F7E3BB1" w:rsidRPr="007969EC">
        <w:rPr>
          <w:lang w:val="nl-BE"/>
        </w:rPr>
        <w:t>2</w:t>
      </w:r>
      <w:r w:rsidRPr="007969EC">
        <w:rPr>
          <w:lang w:val="nl-BE"/>
        </w:rPr>
        <w:t xml:space="preserve">.1 </w:t>
      </w:r>
      <w:r w:rsidR="00852C90" w:rsidRPr="007969EC">
        <w:rPr>
          <w:lang w:val="nl-BE"/>
        </w:rPr>
        <w:t>Financieel luik</w:t>
      </w:r>
      <w:bookmarkEnd w:id="741"/>
      <w:bookmarkEnd w:id="742"/>
    </w:p>
    <w:p w14:paraId="4CFB4D61" w14:textId="5BC2AD37" w:rsidR="00852C90" w:rsidRDefault="00F23F0C" w:rsidP="00852C90">
      <w:pPr>
        <w:snapToGrid w:val="0"/>
        <w:spacing w:after="120" w:line="240" w:lineRule="auto"/>
        <w:jc w:val="both"/>
        <w:rPr>
          <w:lang w:val="nl-BE"/>
        </w:rPr>
      </w:pPr>
      <w:r w:rsidRPr="007969EC">
        <w:rPr>
          <w:lang w:val="nl-BE"/>
        </w:rPr>
        <w:t>De financiële offerte omvat een raming van de kostprijs, met uitgaverubrieken per fase van de evaluatie, per evaluator en per terreinzending.  Per terreinmissie worden minstens 20 werkdagen ter plaatse voorzien (internationale reizen niet inbegrepen).</w:t>
      </w:r>
    </w:p>
    <w:p w14:paraId="567C0C8B" w14:textId="77777777" w:rsidR="00764B3E" w:rsidRPr="007969EC" w:rsidRDefault="00764B3E" w:rsidP="00852C90">
      <w:pPr>
        <w:snapToGrid w:val="0"/>
        <w:spacing w:after="120" w:line="240" w:lineRule="auto"/>
        <w:jc w:val="both"/>
        <w:rPr>
          <w:highlight w:val="lightGray"/>
          <w:lang w:val="nl-BE"/>
        </w:rPr>
      </w:pPr>
    </w:p>
    <w:p w14:paraId="01263615" w14:textId="7CB9714D" w:rsidR="007E67F4" w:rsidRPr="007969EC" w:rsidRDefault="007E67F4">
      <w:pPr>
        <w:pStyle w:val="Vade-mecumtitre2"/>
        <w:rPr>
          <w:lang w:val="nl-BE"/>
        </w:rPr>
      </w:pPr>
      <w:bookmarkStart w:id="743" w:name="_Toc115882697"/>
      <w:bookmarkStart w:id="744" w:name="_Toc117601180"/>
      <w:r w:rsidRPr="007969EC">
        <w:rPr>
          <w:lang w:val="nl-BE"/>
        </w:rPr>
        <w:lastRenderedPageBreak/>
        <w:t>B1</w:t>
      </w:r>
      <w:r w:rsidR="110DC3DD" w:rsidRPr="007969EC">
        <w:rPr>
          <w:lang w:val="nl-BE"/>
        </w:rPr>
        <w:t>2</w:t>
      </w:r>
      <w:r w:rsidRPr="007969EC">
        <w:rPr>
          <w:lang w:val="nl-BE"/>
        </w:rPr>
        <w:t xml:space="preserve">.2 </w:t>
      </w:r>
      <w:r w:rsidR="00852C90" w:rsidRPr="007969EC">
        <w:rPr>
          <w:lang w:val="nl-BE"/>
        </w:rPr>
        <w:t>Technisch luik</w:t>
      </w:r>
      <w:bookmarkEnd w:id="743"/>
      <w:bookmarkEnd w:id="744"/>
    </w:p>
    <w:p w14:paraId="487A0E61" w14:textId="77777777" w:rsidR="006A50FD" w:rsidRPr="007969EC" w:rsidRDefault="006A50FD" w:rsidP="006A50FD">
      <w:pPr>
        <w:spacing w:after="0" w:line="240" w:lineRule="auto"/>
        <w:jc w:val="both"/>
        <w:textAlignment w:val="baseline"/>
        <w:rPr>
          <w:rFonts w:eastAsia="Times New Roman" w:cs="Times New Roman"/>
          <w:szCs w:val="22"/>
          <w:lang w:val="nl-BE"/>
        </w:rPr>
      </w:pPr>
      <w:r w:rsidRPr="007969EC">
        <w:rPr>
          <w:rFonts w:eastAsia="Times New Roman" w:cs="Times New Roman"/>
          <w:szCs w:val="22"/>
          <w:lang w:val="nl-BE"/>
        </w:rPr>
        <w:t>De technische offerte omvat vier delen:  </w:t>
      </w:r>
    </w:p>
    <w:p w14:paraId="0D868C30" w14:textId="77777777" w:rsidR="006A50FD" w:rsidRPr="007969EC" w:rsidRDefault="006A50FD">
      <w:pPr>
        <w:numPr>
          <w:ilvl w:val="0"/>
          <w:numId w:val="22"/>
        </w:numPr>
        <w:spacing w:after="0" w:line="240" w:lineRule="auto"/>
        <w:ind w:left="1080" w:firstLine="0"/>
        <w:jc w:val="both"/>
        <w:textAlignment w:val="baseline"/>
        <w:rPr>
          <w:rFonts w:eastAsia="Times New Roman" w:cs="Times New Roman"/>
          <w:color w:val="000000"/>
          <w:szCs w:val="22"/>
          <w:lang w:val="nl-BE"/>
        </w:rPr>
      </w:pPr>
      <w:r w:rsidRPr="007969EC">
        <w:rPr>
          <w:rFonts w:eastAsia="Times New Roman" w:cs="Times New Roman"/>
          <w:color w:val="000000"/>
          <w:szCs w:val="22"/>
          <w:lang w:val="nl-BE"/>
        </w:rPr>
        <w:t>een beschrijving van de voorgestelde methodologische aanpak en de opvatting van de referentietermen,  </w:t>
      </w:r>
    </w:p>
    <w:p w14:paraId="7DBCC4F5" w14:textId="77777777" w:rsidR="006A50FD" w:rsidRPr="007969EC" w:rsidRDefault="006A50FD">
      <w:pPr>
        <w:numPr>
          <w:ilvl w:val="0"/>
          <w:numId w:val="22"/>
        </w:numPr>
        <w:spacing w:after="0" w:line="240" w:lineRule="auto"/>
        <w:ind w:left="1080" w:firstLine="0"/>
        <w:jc w:val="both"/>
        <w:textAlignment w:val="baseline"/>
        <w:rPr>
          <w:rFonts w:eastAsia="Times New Roman" w:cs="Times New Roman"/>
          <w:color w:val="000000"/>
          <w:szCs w:val="22"/>
          <w:lang w:val="nl-BE"/>
        </w:rPr>
      </w:pPr>
      <w:r w:rsidRPr="007969EC">
        <w:rPr>
          <w:rFonts w:eastAsia="Times New Roman" w:cs="Times New Roman"/>
          <w:color w:val="000000"/>
          <w:szCs w:val="22"/>
          <w:lang w:val="nl-BE"/>
        </w:rPr>
        <w:t>een beschrijving van de praktische aanpak van de evaluatie en van de onderlinge taakverdeling binnen het evaluatieteam,  </w:t>
      </w:r>
    </w:p>
    <w:p w14:paraId="4DDCDBB2" w14:textId="77777777" w:rsidR="006A50FD" w:rsidRPr="007969EC" w:rsidRDefault="006A50FD">
      <w:pPr>
        <w:numPr>
          <w:ilvl w:val="0"/>
          <w:numId w:val="22"/>
        </w:numPr>
        <w:spacing w:after="0" w:line="240" w:lineRule="auto"/>
        <w:ind w:left="1080" w:firstLine="0"/>
        <w:jc w:val="both"/>
        <w:textAlignment w:val="baseline"/>
        <w:rPr>
          <w:rFonts w:eastAsia="Times New Roman" w:cs="Times New Roman"/>
          <w:color w:val="000000"/>
          <w:szCs w:val="22"/>
          <w:lang w:val="nl-BE"/>
        </w:rPr>
      </w:pPr>
      <w:r w:rsidRPr="007969EC">
        <w:rPr>
          <w:rFonts w:eastAsia="Times New Roman" w:cs="Times New Roman"/>
          <w:color w:val="000000"/>
          <w:szCs w:val="22"/>
          <w:lang w:val="nl-BE"/>
        </w:rPr>
        <w:t>de expertise en ervaring van de teamleider, </w:t>
      </w:r>
    </w:p>
    <w:p w14:paraId="2CE51CB3" w14:textId="5E5C38DC" w:rsidR="006A50FD" w:rsidRPr="007969EC" w:rsidRDefault="006A50FD">
      <w:pPr>
        <w:numPr>
          <w:ilvl w:val="0"/>
          <w:numId w:val="22"/>
        </w:numPr>
        <w:spacing w:after="0" w:line="240" w:lineRule="auto"/>
        <w:ind w:left="1080" w:firstLine="0"/>
        <w:jc w:val="both"/>
        <w:textAlignment w:val="baseline"/>
        <w:rPr>
          <w:rFonts w:eastAsia="Times New Roman" w:cs="Times New Roman"/>
          <w:color w:val="000000"/>
          <w:szCs w:val="22"/>
          <w:lang w:val="nl-BE"/>
        </w:rPr>
      </w:pPr>
      <w:r w:rsidRPr="007969EC">
        <w:rPr>
          <w:rFonts w:eastAsia="Times New Roman" w:cs="Times New Roman"/>
          <w:color w:val="000000"/>
          <w:szCs w:val="22"/>
          <w:lang w:val="nl-BE"/>
        </w:rPr>
        <w:t>de expertise en ervaring van de teamleden</w:t>
      </w:r>
      <w:r w:rsidR="00A64C13">
        <w:rPr>
          <w:rFonts w:eastAsia="Times New Roman" w:cs="Times New Roman"/>
          <w:color w:val="000000"/>
          <w:szCs w:val="22"/>
          <w:lang w:val="nl-BE"/>
        </w:rPr>
        <w:t xml:space="preserve">, </w:t>
      </w:r>
      <w:r w:rsidR="00A64C13">
        <w:rPr>
          <w:lang w:val="nl-NL"/>
        </w:rPr>
        <w:t>zowel de internationale als de lokale experten</w:t>
      </w:r>
      <w:r w:rsidRPr="007969EC">
        <w:rPr>
          <w:rFonts w:eastAsia="Times New Roman" w:cs="Times New Roman"/>
          <w:color w:val="000000"/>
          <w:szCs w:val="22"/>
          <w:lang w:val="nl-BE"/>
        </w:rPr>
        <w:t>.  </w:t>
      </w:r>
    </w:p>
    <w:p w14:paraId="6C8ABB1E" w14:textId="77777777" w:rsidR="006A50FD" w:rsidRPr="006A50FD" w:rsidRDefault="006A50FD" w:rsidP="006A50FD">
      <w:pPr>
        <w:spacing w:after="0" w:line="240" w:lineRule="auto"/>
        <w:jc w:val="both"/>
        <w:textAlignment w:val="baseline"/>
        <w:rPr>
          <w:rFonts w:eastAsia="Times New Roman" w:cs="Times New Roman"/>
          <w:szCs w:val="22"/>
          <w:lang w:val="nl-NL"/>
        </w:rPr>
      </w:pPr>
      <w:r w:rsidRPr="006A50FD">
        <w:rPr>
          <w:rFonts w:eastAsia="Times New Roman" w:cs="Times New Roman"/>
          <w:szCs w:val="22"/>
          <w:lang w:val="nl-NL"/>
        </w:rPr>
        <w:t> </w:t>
      </w:r>
    </w:p>
    <w:p w14:paraId="213961AA" w14:textId="481D4580" w:rsidR="006A50FD" w:rsidRPr="006A50FD" w:rsidRDefault="006A50FD" w:rsidP="79A775EF">
      <w:pPr>
        <w:spacing w:after="0" w:line="240" w:lineRule="auto"/>
        <w:jc w:val="both"/>
        <w:textAlignment w:val="baseline"/>
        <w:rPr>
          <w:rFonts w:eastAsia="Times New Roman" w:cs="Times New Roman"/>
          <w:lang w:val="nl-NL"/>
        </w:rPr>
      </w:pPr>
      <w:r w:rsidRPr="79A775EF">
        <w:rPr>
          <w:rFonts w:eastAsia="Times New Roman" w:cs="Times New Roman"/>
          <w:lang w:val="nl-NL"/>
        </w:rPr>
        <w:t xml:space="preserve">In het deel over methodologie en begrip van de referentietermen wordt toegelicht hoe het evaluatieteam een antwoord wenst te bieden op de gestelde vragen en verwachtingen. Meer in het bijzonder dient de dienstverlener zijn zienswijze te verhelderen m.b.t. de context, de doelstellingen en de evaluatievragen, </w:t>
      </w:r>
      <w:r w:rsidR="32B26ADA" w:rsidRPr="79A775EF">
        <w:rPr>
          <w:rFonts w:eastAsia="Times New Roman" w:cs="Times New Roman"/>
          <w:lang w:val="nl-NL"/>
        </w:rPr>
        <w:t>n</w:t>
      </w:r>
      <w:r w:rsidRPr="79A775EF">
        <w:rPr>
          <w:rFonts w:eastAsia="Times New Roman" w:cs="Times New Roman"/>
          <w:lang w:val="nl-NL"/>
        </w:rPr>
        <w:t>aar zijn toegevoegde waarde in het kader van de evaluatie.  </w:t>
      </w:r>
    </w:p>
    <w:p w14:paraId="316482A9" w14:textId="77777777" w:rsidR="006A50FD" w:rsidRPr="006A50FD" w:rsidRDefault="006A50FD" w:rsidP="006A50FD">
      <w:pPr>
        <w:spacing w:after="0" w:line="240" w:lineRule="auto"/>
        <w:jc w:val="both"/>
        <w:textAlignment w:val="baseline"/>
        <w:rPr>
          <w:rFonts w:eastAsia="Times New Roman" w:cs="Times New Roman"/>
          <w:szCs w:val="22"/>
          <w:lang w:val="nl-NL"/>
        </w:rPr>
      </w:pPr>
      <w:r w:rsidRPr="006A50FD">
        <w:rPr>
          <w:rFonts w:eastAsia="Times New Roman" w:cs="Times New Roman"/>
          <w:szCs w:val="22"/>
          <w:lang w:val="nl-NL"/>
        </w:rPr>
        <w:t> </w:t>
      </w:r>
    </w:p>
    <w:p w14:paraId="1C891A58" w14:textId="66DAC6E3" w:rsidR="006A50FD" w:rsidRPr="006A50FD" w:rsidRDefault="006A50FD" w:rsidP="006A50FD">
      <w:pPr>
        <w:spacing w:after="0" w:line="240" w:lineRule="auto"/>
        <w:jc w:val="both"/>
        <w:textAlignment w:val="baseline"/>
        <w:rPr>
          <w:rFonts w:eastAsia="Times New Roman" w:cs="Times New Roman"/>
          <w:szCs w:val="22"/>
          <w:lang w:val="nl-NL"/>
        </w:rPr>
      </w:pPr>
      <w:r w:rsidRPr="006A50FD">
        <w:rPr>
          <w:rFonts w:eastAsia="Times New Roman" w:cs="Times New Roman"/>
          <w:szCs w:val="22"/>
          <w:lang w:val="nl-NL"/>
        </w:rPr>
        <w:t>De technische offerte moet duidelijk definiëren wie welke bepaalde taken op zich neemt binnen het evaluatieteam. Dit geldt zowel voor de internationale evaluatoren als de lokale experten. Gelet op het belang van een coherente taakverdeling en coördinatie binnen het evaluatieteam, zal de rol en beschikbaarheid van de teamle</w:t>
      </w:r>
      <w:r>
        <w:rPr>
          <w:rFonts w:eastAsia="Times New Roman" w:cs="Times New Roman"/>
          <w:szCs w:val="22"/>
          <w:lang w:val="nl-NL"/>
        </w:rPr>
        <w:t>id</w:t>
      </w:r>
      <w:r w:rsidRPr="006A50FD">
        <w:rPr>
          <w:rFonts w:eastAsia="Times New Roman" w:cs="Times New Roman"/>
          <w:szCs w:val="22"/>
          <w:lang w:val="nl-NL"/>
        </w:rPr>
        <w:t>er duidelijk aangegeven worden.  </w:t>
      </w:r>
    </w:p>
    <w:p w14:paraId="52C450F3" w14:textId="77777777" w:rsidR="006A50FD" w:rsidRPr="006A50FD" w:rsidRDefault="006A50FD" w:rsidP="006A50FD">
      <w:pPr>
        <w:spacing w:after="0" w:line="240" w:lineRule="auto"/>
        <w:jc w:val="both"/>
        <w:textAlignment w:val="baseline"/>
        <w:rPr>
          <w:rFonts w:eastAsia="Times New Roman" w:cs="Times New Roman"/>
          <w:szCs w:val="22"/>
          <w:lang w:val="nl-NL"/>
        </w:rPr>
      </w:pPr>
      <w:r w:rsidRPr="006A50FD">
        <w:rPr>
          <w:rFonts w:eastAsia="Times New Roman" w:cs="Times New Roman"/>
          <w:szCs w:val="22"/>
          <w:lang w:val="nl-NL"/>
        </w:rPr>
        <w:t> </w:t>
      </w:r>
    </w:p>
    <w:p w14:paraId="50624FD8" w14:textId="3A71DC52" w:rsidR="006A50FD" w:rsidRPr="006A50FD" w:rsidRDefault="006A50FD" w:rsidP="79A775EF">
      <w:pPr>
        <w:spacing w:after="0" w:line="240" w:lineRule="auto"/>
        <w:jc w:val="both"/>
        <w:textAlignment w:val="baseline"/>
        <w:rPr>
          <w:rFonts w:eastAsia="Times New Roman" w:cs="Times New Roman"/>
          <w:lang w:val="nl-NL"/>
        </w:rPr>
      </w:pPr>
      <w:r w:rsidRPr="79A775EF">
        <w:rPr>
          <w:rFonts w:eastAsia="Times New Roman" w:cs="Times New Roman"/>
          <w:b/>
          <w:bCs/>
          <w:lang w:val="nl-NL"/>
        </w:rPr>
        <w:t xml:space="preserve">Het totale aantal werkdagen voor de evaluatoren wordt geraamd op </w:t>
      </w:r>
      <w:r w:rsidR="6A34026E" w:rsidRPr="79A775EF">
        <w:rPr>
          <w:rFonts w:eastAsia="Times New Roman" w:cs="Times New Roman"/>
          <w:b/>
          <w:bCs/>
          <w:lang w:val="nl-NL"/>
        </w:rPr>
        <w:t>260-300 dagen</w:t>
      </w:r>
      <w:r w:rsidRPr="79A775EF">
        <w:rPr>
          <w:rFonts w:eastAsia="Times New Roman" w:cs="Times New Roman"/>
          <w:b/>
          <w:bCs/>
          <w:lang w:val="nl-NL"/>
        </w:rPr>
        <w:t>.</w:t>
      </w:r>
      <w:r w:rsidRPr="79A775EF">
        <w:rPr>
          <w:rFonts w:eastAsia="Times New Roman" w:cs="Times New Roman"/>
          <w:lang w:val="nl-NL"/>
        </w:rPr>
        <w:t> </w:t>
      </w:r>
    </w:p>
    <w:p w14:paraId="4C5C944A" w14:textId="77777777" w:rsidR="00745245" w:rsidRDefault="00745245" w:rsidP="009875B8">
      <w:pPr>
        <w:snapToGrid w:val="0"/>
        <w:spacing w:after="120" w:line="240" w:lineRule="auto"/>
        <w:jc w:val="both"/>
        <w:rPr>
          <w:lang w:val="nl-NL"/>
        </w:rPr>
      </w:pPr>
    </w:p>
    <w:p w14:paraId="327D00C7" w14:textId="731CE20A" w:rsidR="00A02CF1" w:rsidRPr="00D634A6" w:rsidRDefault="00282DC5">
      <w:pPr>
        <w:pStyle w:val="Vade-mecumtitre2"/>
        <w:rPr>
          <w:lang w:val="nl-NL"/>
        </w:rPr>
      </w:pPr>
      <w:bookmarkStart w:id="745" w:name="_Toc115882698"/>
      <w:bookmarkStart w:id="746" w:name="_Toc117601181"/>
      <w:r w:rsidRPr="359F3E86">
        <w:rPr>
          <w:lang w:val="nl-NL"/>
        </w:rPr>
        <w:t>B1</w:t>
      </w:r>
      <w:r w:rsidR="7499CACE" w:rsidRPr="359F3E86">
        <w:rPr>
          <w:lang w:val="nl-NL"/>
        </w:rPr>
        <w:t>2</w:t>
      </w:r>
      <w:r w:rsidRPr="359F3E86">
        <w:rPr>
          <w:lang w:val="nl-NL"/>
        </w:rPr>
        <w:t>.3 Beoordeling van de offertes</w:t>
      </w:r>
      <w:bookmarkEnd w:id="745"/>
      <w:bookmarkEnd w:id="746"/>
    </w:p>
    <w:p w14:paraId="57A61B9C" w14:textId="620A9074" w:rsidR="005E002C" w:rsidRPr="005E002C" w:rsidRDefault="005E002C" w:rsidP="005E002C">
      <w:pPr>
        <w:pStyle w:val="paragraph"/>
        <w:spacing w:before="0" w:beforeAutospacing="0" w:after="0" w:afterAutospacing="0"/>
        <w:textAlignment w:val="baseline"/>
        <w:rPr>
          <w:rFonts w:ascii="Roboto" w:hAnsi="Roboto"/>
          <w:sz w:val="22"/>
          <w:szCs w:val="22"/>
          <w:lang w:val="nl-NL"/>
        </w:rPr>
      </w:pPr>
      <w:r w:rsidRPr="005E002C">
        <w:rPr>
          <w:rFonts w:ascii="Roboto" w:hAnsi="Roboto"/>
          <w:sz w:val="22"/>
          <w:szCs w:val="22"/>
          <w:lang w:val="nl-NL"/>
        </w:rPr>
        <w:t>De technische offerte zal worden beoordeeld op basis van de volgende criteria en wegingen (voor een totaal van 70%, zie ook A11): </w:t>
      </w:r>
    </w:p>
    <w:p w14:paraId="1A7E18B9" w14:textId="77777777" w:rsidR="005E002C" w:rsidRPr="005E002C" w:rsidRDefault="005E002C" w:rsidP="005E002C">
      <w:pPr>
        <w:spacing w:after="0" w:line="240" w:lineRule="auto"/>
        <w:jc w:val="both"/>
        <w:textAlignment w:val="baseline"/>
        <w:rPr>
          <w:rFonts w:eastAsia="Times New Roman" w:cs="Times New Roman"/>
          <w:szCs w:val="22"/>
          <w:lang w:val="nl-NL"/>
        </w:rPr>
      </w:pPr>
      <w:r w:rsidRPr="005E002C">
        <w:rPr>
          <w:rFonts w:eastAsia="Times New Roman" w:cs="Times New Roman"/>
          <w:color w:val="000000"/>
          <w:szCs w:val="22"/>
          <w:lang w:val="nl-NL"/>
        </w:rPr>
        <w:t> </w:t>
      </w:r>
    </w:p>
    <w:p w14:paraId="72873E01" w14:textId="77777777" w:rsidR="005E002C" w:rsidRPr="005E002C" w:rsidRDefault="005E002C" w:rsidP="009110B1">
      <w:pPr>
        <w:pStyle w:val="ListParagraph"/>
        <w:numPr>
          <w:ilvl w:val="0"/>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Voorstel van methodologie, methodologisch overzicht en begrip van de referentietermen (20%).  </w:t>
      </w:r>
    </w:p>
    <w:p w14:paraId="4962B389" w14:textId="65D6DD3B" w:rsidR="005E002C" w:rsidRPr="005E002C" w:rsidRDefault="005E002C" w:rsidP="009110B1">
      <w:pPr>
        <w:pStyle w:val="ListParagraph"/>
        <w:numPr>
          <w:ilvl w:val="0"/>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Praktische aanpak van de evaluatie per fase en onderlinge taakverdeling (</w:t>
      </w:r>
      <w:r w:rsidR="50B7FBBE" w:rsidRPr="79A775EF">
        <w:rPr>
          <w:rFonts w:eastAsia="Times New Roman" w:cs="Times New Roman"/>
          <w:color w:val="000000" w:themeColor="text1"/>
          <w:lang w:val="nl-NL"/>
        </w:rPr>
        <w:t>15</w:t>
      </w:r>
      <w:r w:rsidRPr="79A775EF">
        <w:rPr>
          <w:rFonts w:eastAsia="Times New Roman" w:cs="Times New Roman"/>
          <w:color w:val="000000" w:themeColor="text1"/>
          <w:lang w:val="nl-NL"/>
        </w:rPr>
        <w:t>%) </w:t>
      </w:r>
    </w:p>
    <w:p w14:paraId="6A8E5C51" w14:textId="77777777" w:rsidR="005E002C" w:rsidRPr="005E002C" w:rsidRDefault="005E002C" w:rsidP="009110B1">
      <w:pPr>
        <w:pStyle w:val="ListParagraph"/>
        <w:numPr>
          <w:ilvl w:val="0"/>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Expertise en ervaring van de teamleider (15%) m.b.t.: </w:t>
      </w:r>
    </w:p>
    <w:p w14:paraId="72788F8D" w14:textId="77777777" w:rsidR="005E002C" w:rsidRPr="005E002C" w:rsidRDefault="005E002C" w:rsidP="009110B1">
      <w:pPr>
        <w:pStyle w:val="ListParagraph"/>
        <w:numPr>
          <w:ilvl w:val="1"/>
          <w:numId w:val="1"/>
        </w:numPr>
        <w:spacing w:after="0" w:line="240" w:lineRule="auto"/>
        <w:jc w:val="both"/>
        <w:textAlignment w:val="baseline"/>
        <w:rPr>
          <w:rFonts w:eastAsia="Times New Roman" w:cs="Times New Roman"/>
        </w:rPr>
      </w:pPr>
      <w:r w:rsidRPr="79A775EF">
        <w:rPr>
          <w:rFonts w:eastAsia="Times New Roman" w:cs="Times New Roman"/>
          <w:color w:val="000000" w:themeColor="text1"/>
          <w:lang w:val="nl-NL"/>
        </w:rPr>
        <w:t>de vereiste talenkennis;</w:t>
      </w:r>
      <w:r w:rsidRPr="79A775EF">
        <w:rPr>
          <w:rFonts w:eastAsia="Times New Roman" w:cs="Times New Roman"/>
          <w:color w:val="000000" w:themeColor="text1"/>
        </w:rPr>
        <w:t> </w:t>
      </w:r>
    </w:p>
    <w:p w14:paraId="1628054B" w14:textId="77777777" w:rsidR="005E002C" w:rsidRPr="005E002C" w:rsidRDefault="005E002C" w:rsidP="009110B1">
      <w:pPr>
        <w:pStyle w:val="ListParagraph"/>
        <w:numPr>
          <w:ilvl w:val="1"/>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kennis van de context van de Belgische Ontwikkelingssamenwerking; </w:t>
      </w:r>
    </w:p>
    <w:p w14:paraId="185FC579" w14:textId="77777777" w:rsidR="005E002C" w:rsidRPr="005E002C" w:rsidRDefault="005E002C" w:rsidP="009110B1">
      <w:pPr>
        <w:pStyle w:val="ListParagraph"/>
        <w:numPr>
          <w:ilvl w:val="1"/>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kennis van internationale vraagstukken op het gebied van fragiliteit; </w:t>
      </w:r>
    </w:p>
    <w:p w14:paraId="2D27616A" w14:textId="29C02BB9" w:rsidR="005E002C" w:rsidRPr="005E002C" w:rsidRDefault="005E002C" w:rsidP="009110B1">
      <w:pPr>
        <w:pStyle w:val="ListParagraph"/>
        <w:numPr>
          <w:ilvl w:val="1"/>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evaluatiemethodologie en meer bepaald in fragiele contexten.</w:t>
      </w:r>
    </w:p>
    <w:p w14:paraId="1BC7365B" w14:textId="518D955A" w:rsidR="005E002C" w:rsidRPr="005E002C" w:rsidRDefault="005E002C" w:rsidP="009110B1">
      <w:pPr>
        <w:pStyle w:val="ListParagraph"/>
        <w:numPr>
          <w:ilvl w:val="0"/>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 Expertise en ervaring van de teamleden (</w:t>
      </w:r>
      <w:r w:rsidR="736E0520" w:rsidRPr="79A775EF">
        <w:rPr>
          <w:rFonts w:eastAsia="Times New Roman" w:cs="Times New Roman"/>
          <w:color w:val="000000" w:themeColor="text1"/>
          <w:lang w:val="nl-NL"/>
        </w:rPr>
        <w:t>20</w:t>
      </w:r>
      <w:r w:rsidRPr="79A775EF">
        <w:rPr>
          <w:rFonts w:eastAsia="Times New Roman" w:cs="Times New Roman"/>
          <w:color w:val="000000" w:themeColor="text1"/>
          <w:lang w:val="nl-NL"/>
        </w:rPr>
        <w:t>%) m.b.t.: </w:t>
      </w:r>
    </w:p>
    <w:p w14:paraId="447CF62F" w14:textId="77777777" w:rsidR="005E002C" w:rsidRPr="005E002C" w:rsidRDefault="005E002C" w:rsidP="009110B1">
      <w:pPr>
        <w:pStyle w:val="ListParagraph"/>
        <w:numPr>
          <w:ilvl w:val="1"/>
          <w:numId w:val="1"/>
        </w:numPr>
        <w:spacing w:after="0" w:line="240" w:lineRule="auto"/>
        <w:jc w:val="both"/>
        <w:textAlignment w:val="baseline"/>
        <w:rPr>
          <w:rFonts w:eastAsia="Times New Roman" w:cs="Times New Roman"/>
        </w:rPr>
      </w:pPr>
      <w:r w:rsidRPr="79A775EF">
        <w:rPr>
          <w:rFonts w:eastAsia="Times New Roman" w:cs="Times New Roman"/>
          <w:color w:val="000000" w:themeColor="text1"/>
          <w:lang w:val="nl-NL"/>
        </w:rPr>
        <w:t>de vereiste talenkennis;</w:t>
      </w:r>
      <w:r w:rsidRPr="79A775EF">
        <w:rPr>
          <w:rFonts w:eastAsia="Times New Roman" w:cs="Times New Roman"/>
          <w:color w:val="000000" w:themeColor="text1"/>
        </w:rPr>
        <w:t> </w:t>
      </w:r>
    </w:p>
    <w:p w14:paraId="08FD3A9A" w14:textId="77777777" w:rsidR="005E002C" w:rsidRPr="005E002C" w:rsidRDefault="005E002C" w:rsidP="009110B1">
      <w:pPr>
        <w:pStyle w:val="ListParagraph"/>
        <w:numPr>
          <w:ilvl w:val="1"/>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kennis van de context van de Belgische ontwikkelingssamenwerking; </w:t>
      </w:r>
    </w:p>
    <w:p w14:paraId="75BDCB08" w14:textId="77777777" w:rsidR="005E002C" w:rsidRPr="005E002C" w:rsidRDefault="005E002C" w:rsidP="009110B1">
      <w:pPr>
        <w:pStyle w:val="ListParagraph"/>
        <w:numPr>
          <w:ilvl w:val="1"/>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kennis van internationale vraagstukken op het gebied van fragiliteit; </w:t>
      </w:r>
    </w:p>
    <w:p w14:paraId="0D22EEBD" w14:textId="62170FA6" w:rsidR="005E002C" w:rsidRPr="005E002C" w:rsidRDefault="005E002C" w:rsidP="009110B1">
      <w:pPr>
        <w:pStyle w:val="ListParagraph"/>
        <w:numPr>
          <w:ilvl w:val="1"/>
          <w:numId w:val="1"/>
        </w:numPr>
        <w:spacing w:after="0" w:line="240" w:lineRule="auto"/>
        <w:jc w:val="both"/>
        <w:textAlignment w:val="baseline"/>
        <w:rPr>
          <w:rFonts w:eastAsia="Times New Roman" w:cs="Times New Roman"/>
          <w:lang w:val="nl-NL"/>
        </w:rPr>
      </w:pPr>
      <w:r w:rsidRPr="79A775EF">
        <w:rPr>
          <w:rFonts w:eastAsia="Times New Roman" w:cs="Times New Roman"/>
          <w:color w:val="000000" w:themeColor="text1"/>
          <w:lang w:val="nl-NL"/>
        </w:rPr>
        <w:t>evaluatiemethodologie en meer bepaald in fragiele contexten.</w:t>
      </w:r>
    </w:p>
    <w:p w14:paraId="04DC0F4D" w14:textId="248C5FEE" w:rsidR="58D393D9" w:rsidRDefault="58D393D9" w:rsidP="79A775EF">
      <w:pPr>
        <w:pStyle w:val="ListParagraph"/>
        <w:numPr>
          <w:ilvl w:val="1"/>
          <w:numId w:val="1"/>
        </w:numPr>
        <w:spacing w:after="0" w:line="240" w:lineRule="auto"/>
        <w:jc w:val="both"/>
        <w:rPr>
          <w:rFonts w:eastAsia="Times New Roman" w:cs="Times New Roman"/>
          <w:lang w:val="nl-NL"/>
        </w:rPr>
      </w:pPr>
      <w:r w:rsidRPr="79A775EF">
        <w:rPr>
          <w:rFonts w:eastAsia="Times New Roman" w:cs="Times New Roman"/>
          <w:color w:val="000000" w:themeColor="text1"/>
          <w:lang w:val="nl-NL"/>
        </w:rPr>
        <w:t>contextanalyse</w:t>
      </w:r>
    </w:p>
    <w:p w14:paraId="636C56A2" w14:textId="241991B0" w:rsidR="00CA1BCB" w:rsidRPr="00764B3E" w:rsidRDefault="0059650E" w:rsidP="00764B3E">
      <w:pPr>
        <w:pStyle w:val="ListParagraph"/>
        <w:numPr>
          <w:ilvl w:val="1"/>
          <w:numId w:val="1"/>
        </w:numPr>
        <w:spacing w:after="0" w:line="240" w:lineRule="auto"/>
        <w:jc w:val="both"/>
        <w:rPr>
          <w:rFonts w:eastAsia="Times New Roman" w:cs="Times New Roman"/>
          <w:lang w:val="nl-NL"/>
        </w:rPr>
      </w:pPr>
      <w:r>
        <w:rPr>
          <w:rFonts w:eastAsia="Times New Roman" w:cs="Times New Roman"/>
          <w:lang w:val="nl-NL"/>
        </w:rPr>
        <w:t>ontwikkelings- en fragiliteitsdynamieken</w:t>
      </w:r>
      <w:r w:rsidR="009B60BA">
        <w:rPr>
          <w:rFonts w:eastAsia="Times New Roman" w:cs="Times New Roman"/>
          <w:lang w:val="nl-NL"/>
        </w:rPr>
        <w:t xml:space="preserve"> i</w:t>
      </w:r>
      <w:r w:rsidR="58D393D9" w:rsidRPr="61A0463E">
        <w:rPr>
          <w:rFonts w:eastAsia="Times New Roman" w:cs="Times New Roman"/>
          <w:lang w:val="nl-NL"/>
        </w:rPr>
        <w:t>n de 6 geselecteerde partnerlanden</w:t>
      </w:r>
      <w:r w:rsidR="00C61DB7">
        <w:rPr>
          <w:rFonts w:eastAsia="Times New Roman" w:cs="Times New Roman"/>
          <w:lang w:val="nl-NL"/>
        </w:rPr>
        <w:t xml:space="preserve">. </w:t>
      </w:r>
      <w:r w:rsidR="00CA1BCB" w:rsidRPr="00C61DB7">
        <w:rPr>
          <w:lang w:val="nl-BE"/>
        </w:rPr>
        <w:t>Het evaluatieteam dient</w:t>
      </w:r>
      <w:r w:rsidR="00C61DB7">
        <w:rPr>
          <w:lang w:val="nl-BE"/>
        </w:rPr>
        <w:t xml:space="preserve"> hierbij</w:t>
      </w:r>
      <w:r w:rsidR="00CA1BCB" w:rsidRPr="00C61DB7">
        <w:rPr>
          <w:lang w:val="nl-BE"/>
        </w:rPr>
        <w:t xml:space="preserve"> ook te steunen op expertise uit de partnerlanden zelf. Dit betekent een volwaardige rol als evaluator binnen het team en niet enkel als facilitator van de terreinmissies</w:t>
      </w:r>
    </w:p>
    <w:p w14:paraId="17D74213" w14:textId="102D93D1" w:rsidR="00BF3335" w:rsidRDefault="00BF3335" w:rsidP="00BF3335">
      <w:pPr>
        <w:pStyle w:val="Vade-Mecum0"/>
        <w:rPr>
          <w:lang w:val="nl-NL"/>
        </w:rPr>
      </w:pPr>
    </w:p>
    <w:p w14:paraId="20E9E18A" w14:textId="477E3FCD" w:rsidR="00BF3335" w:rsidRDefault="00BF3335" w:rsidP="00BF3335">
      <w:pPr>
        <w:pStyle w:val="Vade-Mecum0"/>
        <w:rPr>
          <w:lang w:val="nl-NL"/>
        </w:rPr>
      </w:pPr>
    </w:p>
    <w:p w14:paraId="7CB909D3" w14:textId="2F4FDA36" w:rsidR="00BF3335" w:rsidRPr="00BF3335" w:rsidRDefault="00D634A6" w:rsidP="00BF3335">
      <w:pPr>
        <w:pStyle w:val="Vade-mecumtitre1"/>
        <w:numPr>
          <w:ilvl w:val="0"/>
          <w:numId w:val="0"/>
        </w:numPr>
        <w:ind w:left="432" w:hanging="432"/>
        <w:rPr>
          <w:sz w:val="40"/>
          <w:szCs w:val="40"/>
        </w:rPr>
      </w:pPr>
      <w:bookmarkStart w:id="747" w:name="_Toc29741234"/>
      <w:bookmarkStart w:id="748" w:name="_Toc35550158"/>
      <w:bookmarkStart w:id="749" w:name="_Toc117601182"/>
      <w:r w:rsidRPr="359F3E86">
        <w:rPr>
          <w:sz w:val="40"/>
          <w:szCs w:val="40"/>
        </w:rPr>
        <w:lastRenderedPageBreak/>
        <w:t>C</w:t>
      </w:r>
      <w:r w:rsidR="00BF3335" w:rsidRPr="359F3E86">
        <w:rPr>
          <w:sz w:val="40"/>
          <w:szCs w:val="40"/>
        </w:rPr>
        <w:t>. BIJLAGEN</w:t>
      </w:r>
      <w:bookmarkEnd w:id="747"/>
      <w:bookmarkEnd w:id="748"/>
      <w:bookmarkEnd w:id="749"/>
    </w:p>
    <w:p w14:paraId="2FBED67A" w14:textId="50B532A9" w:rsidR="00BF3335" w:rsidRPr="00BF3335" w:rsidRDefault="00BF3335" w:rsidP="00BF3335">
      <w:pPr>
        <w:pStyle w:val="Vade-Mecum0"/>
        <w:rPr>
          <w:lang w:val="nl-NL"/>
        </w:rPr>
      </w:pPr>
      <w:bookmarkStart w:id="750" w:name="_Toc29741235"/>
      <w:r w:rsidRPr="00BF3335">
        <w:rPr>
          <w:lang w:val="nl-NL"/>
        </w:rPr>
        <w:t>- Informatiefich</w:t>
      </w:r>
      <w:r w:rsidR="002E704D">
        <w:rPr>
          <w:lang w:val="nl-NL"/>
        </w:rPr>
        <w:t>e</w:t>
      </w:r>
      <w:r w:rsidR="007969EC">
        <w:rPr>
          <w:lang w:val="nl-NL"/>
        </w:rPr>
        <w:br/>
      </w:r>
      <w:r w:rsidR="002E704D">
        <w:rPr>
          <w:lang w:val="nl-NL"/>
        </w:rPr>
        <w:t xml:space="preserve">- </w:t>
      </w:r>
      <w:r w:rsidRPr="00BF3335">
        <w:rPr>
          <w:lang w:val="nl-NL"/>
        </w:rPr>
        <w:t>Offerteformulier</w:t>
      </w:r>
      <w:r w:rsidR="007969EC">
        <w:rPr>
          <w:lang w:val="nl-NL"/>
        </w:rPr>
        <w:br/>
      </w:r>
      <w:r w:rsidRPr="00BF3335">
        <w:rPr>
          <w:lang w:val="nl-NL"/>
        </w:rPr>
        <w:t xml:space="preserve">- </w:t>
      </w:r>
      <w:hyperlink r:id="rId33" w:history="1">
        <w:r w:rsidRPr="00BF3335">
          <w:rPr>
            <w:rStyle w:val="Hyperlink"/>
            <w:lang w:val="nl-NL"/>
          </w:rPr>
          <w:t>https://dume.publicprocurement.be</w:t>
        </w:r>
      </w:hyperlink>
      <w:r w:rsidRPr="00BF3335">
        <w:rPr>
          <w:lang w:val="nl-NL"/>
        </w:rPr>
        <w:t xml:space="preserve">   </w:t>
      </w:r>
    </w:p>
    <w:p w14:paraId="4736D12C" w14:textId="67FB8598" w:rsidR="00BF3335" w:rsidRPr="00BF3335" w:rsidRDefault="00BF3335" w:rsidP="00BF3335">
      <w:pPr>
        <w:pStyle w:val="Vade-mecumtitre1"/>
        <w:numPr>
          <w:ilvl w:val="0"/>
          <w:numId w:val="0"/>
        </w:numPr>
        <w:ind w:left="432" w:hanging="432"/>
      </w:pPr>
      <w:bookmarkStart w:id="751" w:name="_Toc35550159"/>
      <w:bookmarkStart w:id="752" w:name="_Toc117601183"/>
      <w:r w:rsidRPr="00BF3335">
        <w:t>C1. Informatiefiche</w:t>
      </w:r>
      <w:bookmarkEnd w:id="750"/>
      <w:bookmarkEnd w:id="751"/>
      <w:r w:rsidR="00D0043D">
        <w:t xml:space="preserve">: </w:t>
      </w:r>
      <w:r w:rsidR="00D0043D" w:rsidRPr="00D0043D">
        <w:rPr>
          <w:rStyle w:val="cf01"/>
          <w:rFonts w:ascii="Lora" w:hAnsi="Lora"/>
          <w:sz w:val="36"/>
          <w:szCs w:val="36"/>
        </w:rPr>
        <w:t>technische en financiële offerte</w:t>
      </w:r>
      <w:bookmarkEnd w:id="752"/>
    </w:p>
    <w:p w14:paraId="1D03706F" w14:textId="2C9F3A25" w:rsidR="00BF3335" w:rsidRPr="00BF3335" w:rsidRDefault="00BF3335">
      <w:pPr>
        <w:pStyle w:val="Vade-mecumtitre2"/>
      </w:pPr>
      <w:bookmarkStart w:id="753" w:name="_Toc194484477"/>
      <w:bookmarkStart w:id="754" w:name="_Toc29741236"/>
      <w:bookmarkStart w:id="755" w:name="_Toc113544506"/>
      <w:bookmarkStart w:id="756" w:name="_Toc114066813"/>
      <w:bookmarkStart w:id="757" w:name="_Toc115882701"/>
      <w:bookmarkStart w:id="758" w:name="_Toc117601184"/>
      <w:r>
        <w:t xml:space="preserve">C1.1 </w:t>
      </w:r>
      <w:bookmarkEnd w:id="753"/>
      <w:r>
        <w:t>Technische offerte</w:t>
      </w:r>
      <w:bookmarkEnd w:id="754"/>
      <w:bookmarkEnd w:id="755"/>
      <w:bookmarkEnd w:id="756"/>
      <w:bookmarkEnd w:id="757"/>
      <w:bookmarkEnd w:id="758"/>
    </w:p>
    <w:p w14:paraId="27FD17EF" w14:textId="77777777" w:rsidR="00BF3335" w:rsidRPr="00BF3335" w:rsidRDefault="00BF3335" w:rsidP="00BF3335">
      <w:pPr>
        <w:pStyle w:val="Vade-Mecum0"/>
        <w:rPr>
          <w:b/>
          <w:bCs/>
          <w:lang w:val="nl-NL"/>
        </w:rPr>
      </w:pPr>
      <w:r w:rsidRPr="00BF3335">
        <w:rPr>
          <w:b/>
          <w:bCs/>
          <w:lang w:val="nl-NL"/>
        </w:rPr>
        <w:t>Algemene opmerkingen </w:t>
      </w:r>
    </w:p>
    <w:p w14:paraId="338BFBD9" w14:textId="77777777" w:rsidR="00BF3335" w:rsidRPr="00BF3335" w:rsidRDefault="00BF3335" w:rsidP="00BF3335">
      <w:pPr>
        <w:pStyle w:val="Vade-Mecum0"/>
        <w:spacing w:line="240" w:lineRule="auto"/>
        <w:jc w:val="both"/>
        <w:rPr>
          <w:lang w:val="nl-NL"/>
        </w:rPr>
      </w:pPr>
      <w:r w:rsidRPr="00BF3335">
        <w:rPr>
          <w:lang w:val="nl-NL"/>
        </w:rPr>
        <w:t>De inschrijvers worden verzocht het hele bestek (inclusief de voetnoten) grondig door te lezen, met het oog op bepalingen en verplichtingen uitdrukkelijk vermeld in het bestek. Bij gebrek aan overeenstemming tussen het bestek en de offerte van de evaluator, primeert steeds het bestek.</w:t>
      </w:r>
    </w:p>
    <w:p w14:paraId="661C1CEB" w14:textId="4833DDF4" w:rsidR="008A01F4" w:rsidRDefault="00BF3335" w:rsidP="008F7A20">
      <w:pPr>
        <w:pStyle w:val="Vade-Mecum0"/>
        <w:spacing w:line="240" w:lineRule="auto"/>
        <w:jc w:val="both"/>
        <w:rPr>
          <w:bCs/>
          <w:lang w:val="nl-NL"/>
        </w:rPr>
      </w:pPr>
      <w:r w:rsidRPr="00BF3335">
        <w:rPr>
          <w:lang w:val="nl-NL"/>
        </w:rPr>
        <w:t xml:space="preserve">De referentietermen (zie deel B. Technische voorschriften) werden opgesteld door </w:t>
      </w:r>
      <w:r w:rsidR="003F1D05">
        <w:rPr>
          <w:lang w:val="nl-NL"/>
        </w:rPr>
        <w:t xml:space="preserve">de DBE na consultatie  van </w:t>
      </w:r>
      <w:r w:rsidRPr="00BF3335">
        <w:rPr>
          <w:lang w:val="nl-NL"/>
        </w:rPr>
        <w:t xml:space="preserve">een geheel van interne deskundigen van de FOD en andere bij de evaluatie betrokken actoren. Niettegenstaande de op die manier gemobiliseerde kennis omtrent het voorwerp van de evaluatie, kan het gebeuren dat de referentietermen elementen bevatten die vatbaar zijn voor interpretatie. De inschrijver die zulke onvolkomenheden vaststelt, wordt verzocht de aanbestedende overheid zo vlug mogelijk daarvan in kennis te stellen (zie hoger, A4. Aanvullende informatie). </w:t>
      </w:r>
      <w:r w:rsidRPr="00BF3335">
        <w:rPr>
          <w:bCs/>
          <w:lang w:val="nl-NL"/>
        </w:rPr>
        <w:t xml:space="preserve">De aanbestedende overheid aanvaardt dus geen substantieel afwijkende interpretatie van de technische voorschriften in de offerte. </w:t>
      </w:r>
    </w:p>
    <w:p w14:paraId="1C498D60" w14:textId="66DFDE27" w:rsidR="00BF3335" w:rsidRPr="00BF3335" w:rsidRDefault="00BF3335" w:rsidP="008F7A20">
      <w:pPr>
        <w:pStyle w:val="Vade-Mecum0"/>
        <w:spacing w:line="240" w:lineRule="auto"/>
        <w:jc w:val="both"/>
        <w:rPr>
          <w:bCs/>
          <w:lang w:val="nl-NL"/>
        </w:rPr>
      </w:pPr>
      <w:r w:rsidRPr="00BF3335">
        <w:rPr>
          <w:bCs/>
          <w:lang w:val="nl-NL"/>
        </w:rPr>
        <w:t>In de financiële en technische offerte zal de inschrijver bovendien geen uitdrukkingen hanteren zoals ‘als daar tijd voor is’ of ‘als daarvoor ruimte is binnen het budget’.</w:t>
      </w:r>
      <w:r w:rsidR="008A01F4" w:rsidRPr="008A01F4">
        <w:rPr>
          <w:lang w:val="nl-NL"/>
        </w:rPr>
        <w:t xml:space="preserve"> </w:t>
      </w:r>
      <w:r w:rsidR="008A01F4" w:rsidRPr="008A01F4">
        <w:rPr>
          <w:bCs/>
          <w:lang w:val="nl-NL"/>
        </w:rPr>
        <w:t>Als dat niettemin het geval is, moeten deze diensten met een specifieke begroting gepaard zijn die het mogelijk maakt om deze kosten af te leiden ingeval deze diensten niet uitgevoerd kunnen worden.</w:t>
      </w:r>
    </w:p>
    <w:p w14:paraId="4CC151AC" w14:textId="77777777" w:rsidR="00BF3335" w:rsidRPr="00BF3335" w:rsidRDefault="00BF3335" w:rsidP="008F7A20">
      <w:pPr>
        <w:pStyle w:val="Vade-Mecum0"/>
        <w:spacing w:line="240" w:lineRule="auto"/>
        <w:jc w:val="both"/>
        <w:rPr>
          <w:bCs/>
          <w:lang w:val="nl-NL"/>
        </w:rPr>
      </w:pPr>
      <w:r w:rsidRPr="00BF3335">
        <w:rPr>
          <w:bCs/>
          <w:lang w:val="nl-NL"/>
        </w:rPr>
        <w:t>De inschrijver moet te allen koste vermijden in zijn technische offerte (delen van) de inhoud van de technische voorschriften letterlijk over te nemen. Tevens wordt hij verzocht beginselen, definities en praktijken die wijdverbreid zijn in het domein van ontwikkelingssamenwerking en evaluatie niet te herhalen. Indien bepaalde tekstgedeelten niet afkomstig zijn van de auteur van de offerte, moet dat duidelijk worden vermeld (cursief schrift, tussen aanhalingstekens en met bronvermelding).</w:t>
      </w:r>
    </w:p>
    <w:p w14:paraId="2F671D5C" w14:textId="145D0F1B" w:rsidR="00BF3335" w:rsidRDefault="00BF3335" w:rsidP="008F7A20">
      <w:pPr>
        <w:pStyle w:val="Vade-Mecum0"/>
        <w:spacing w:line="240" w:lineRule="auto"/>
        <w:rPr>
          <w:b/>
          <w:bCs/>
          <w:lang w:val="nl-NL"/>
        </w:rPr>
      </w:pPr>
      <w:r w:rsidRPr="00BF3335">
        <w:rPr>
          <w:b/>
          <w:bCs/>
          <w:lang w:val="nl-NL"/>
        </w:rPr>
        <w:t>Opmaak van de offerte </w:t>
      </w:r>
    </w:p>
    <w:p w14:paraId="21DE1F27" w14:textId="77777777" w:rsidR="00BF3335" w:rsidRPr="00BF3335" w:rsidRDefault="00BF3335" w:rsidP="008F7A20">
      <w:pPr>
        <w:pStyle w:val="Vade-Mecum0"/>
        <w:spacing w:line="240" w:lineRule="auto"/>
        <w:jc w:val="both"/>
        <w:rPr>
          <w:bCs/>
          <w:lang w:val="nl-NL"/>
        </w:rPr>
      </w:pPr>
      <w:r w:rsidRPr="00BF3335">
        <w:rPr>
          <w:bCs/>
          <w:lang w:val="nl-NL"/>
        </w:rPr>
        <w:t>De inschrijver voorziet een volledig en onafgebroken nummering van al de bladzijden van zijn offerte (inclusief bijlagen). Het offerteformulier wordt apart genummerd.</w:t>
      </w:r>
    </w:p>
    <w:p w14:paraId="7289636C" w14:textId="1CAE4E89" w:rsidR="002F385C" w:rsidRDefault="00BF3335" w:rsidP="79A775EF">
      <w:pPr>
        <w:pStyle w:val="Vade-Mecum0"/>
        <w:spacing w:line="240" w:lineRule="auto"/>
        <w:jc w:val="both"/>
        <w:rPr>
          <w:lang w:val="nl-NL"/>
        </w:rPr>
      </w:pPr>
      <w:r w:rsidRPr="79A775EF">
        <w:rPr>
          <w:lang w:val="nl-NL"/>
        </w:rPr>
        <w:t xml:space="preserve">De technische en financiële offerte moeten zodanig gestructureerd zijn dat ze de analyse volgens de uitsluitings-, selectie-, regelmatigheids- en gunningscriteria (zie </w:t>
      </w:r>
      <w:r w:rsidRPr="009110B1">
        <w:rPr>
          <w:lang w:val="nl-NL"/>
        </w:rPr>
        <w:t>hoger, A</w:t>
      </w:r>
      <w:r w:rsidR="0E4A6077" w:rsidRPr="009110B1">
        <w:rPr>
          <w:lang w:val="nl-NL"/>
        </w:rPr>
        <w:t>11</w:t>
      </w:r>
      <w:r w:rsidRPr="79A775EF">
        <w:rPr>
          <w:lang w:val="nl-NL"/>
        </w:rPr>
        <w:t xml:space="preserve">) vergemakkelijken. </w:t>
      </w:r>
    </w:p>
    <w:p w14:paraId="294475BF" w14:textId="77777777" w:rsidR="006546C5" w:rsidRDefault="006546C5" w:rsidP="008F7A20">
      <w:pPr>
        <w:pStyle w:val="Vade-Mecum0"/>
        <w:spacing w:line="240" w:lineRule="auto"/>
        <w:jc w:val="both"/>
        <w:rPr>
          <w:bCs/>
          <w:lang w:val="nl-NL"/>
        </w:rPr>
      </w:pPr>
    </w:p>
    <w:p w14:paraId="6BAA9DAF" w14:textId="77777777" w:rsidR="006546C5" w:rsidRDefault="006546C5" w:rsidP="008F7A20">
      <w:pPr>
        <w:pStyle w:val="Vade-Mecum0"/>
        <w:spacing w:line="240" w:lineRule="auto"/>
        <w:jc w:val="both"/>
        <w:rPr>
          <w:bCs/>
          <w:lang w:val="nl-NL"/>
        </w:rPr>
      </w:pPr>
    </w:p>
    <w:p w14:paraId="615DCEA4" w14:textId="5E8D3EAF" w:rsidR="00BF3335" w:rsidRPr="00BF3335" w:rsidRDefault="002F385C" w:rsidP="008F7A20">
      <w:pPr>
        <w:pStyle w:val="Vade-Mecum0"/>
        <w:spacing w:line="240" w:lineRule="auto"/>
        <w:jc w:val="both"/>
        <w:rPr>
          <w:bCs/>
          <w:lang w:val="nl-NL"/>
        </w:rPr>
      </w:pPr>
      <w:r w:rsidRPr="002F385C">
        <w:rPr>
          <w:bCs/>
          <w:lang w:val="nl-NL"/>
        </w:rPr>
        <w:lastRenderedPageBreak/>
        <w:t xml:space="preserve">Indieners mogen slechts één offerte indienen. </w:t>
      </w:r>
      <w:r w:rsidR="00BF3335" w:rsidRPr="00BF3335">
        <w:rPr>
          <w:bCs/>
          <w:lang w:val="nl-NL"/>
        </w:rPr>
        <w:t>Met name de volgende punten zijn belangrijk:</w:t>
      </w:r>
      <w:bookmarkStart w:id="759" w:name="_Toc196819227"/>
      <w:bookmarkStart w:id="760" w:name="_Toc194983379"/>
    </w:p>
    <w:p w14:paraId="66CD619C" w14:textId="0B76AD7A" w:rsidR="00BF3335" w:rsidRPr="00BF3335" w:rsidRDefault="00BF3335" w:rsidP="79A775EF">
      <w:pPr>
        <w:pStyle w:val="Vade-Mecum0"/>
        <w:numPr>
          <w:ilvl w:val="0"/>
          <w:numId w:val="11"/>
        </w:numPr>
        <w:spacing w:line="240" w:lineRule="auto"/>
        <w:rPr>
          <w:lang w:val="nl-NL"/>
        </w:rPr>
      </w:pPr>
      <w:r w:rsidRPr="79A775EF">
        <w:rPr>
          <w:lang w:val="nl-NL"/>
        </w:rPr>
        <w:t>Voorstel van methodologische aanpak en begrip van de referentietermen</w:t>
      </w:r>
      <w:r w:rsidR="00C221FC" w:rsidRPr="79A775EF">
        <w:rPr>
          <w:lang w:val="nl-NL"/>
        </w:rPr>
        <w:t xml:space="preserve"> (max 1</w:t>
      </w:r>
      <w:r w:rsidR="78CD4D1A" w:rsidRPr="79A775EF">
        <w:rPr>
          <w:lang w:val="nl-NL"/>
        </w:rPr>
        <w:t>5</w:t>
      </w:r>
      <w:r w:rsidR="00C221FC" w:rsidRPr="79A775EF">
        <w:rPr>
          <w:lang w:val="nl-NL"/>
        </w:rPr>
        <w:t xml:space="preserve"> pag.)</w:t>
      </w:r>
    </w:p>
    <w:p w14:paraId="70269D6C" w14:textId="77777777" w:rsidR="00BF3335" w:rsidRPr="00BF3335" w:rsidRDefault="00BF3335">
      <w:pPr>
        <w:pStyle w:val="Vade-Mecum0"/>
        <w:numPr>
          <w:ilvl w:val="0"/>
          <w:numId w:val="12"/>
        </w:numPr>
        <w:spacing w:line="240" w:lineRule="auto"/>
        <w:jc w:val="both"/>
        <w:rPr>
          <w:bCs/>
          <w:lang w:val="nl-NL"/>
        </w:rPr>
      </w:pPr>
      <w:r w:rsidRPr="00BF3335">
        <w:rPr>
          <w:bCs/>
          <w:lang w:val="nl-NL"/>
        </w:rPr>
        <w:t>Een bondige demonstratie dat de inschrijver de aard en de omvang van de gevraagde diensten heeft begrepen, met verduidelijking van de zienswijze van het evaluatieteam in verband met de evaluatiecontext, -doelstelling en -vragen, maar ook in verband met het eigen mandaat en de toegevoegde waarde in het kader van de evaluatie.</w:t>
      </w:r>
    </w:p>
    <w:p w14:paraId="14722CD3" w14:textId="7D49C55D" w:rsidR="00BF3335" w:rsidRPr="00BF3335" w:rsidRDefault="00BF3335">
      <w:pPr>
        <w:pStyle w:val="Vade-Mecum0"/>
        <w:numPr>
          <w:ilvl w:val="0"/>
          <w:numId w:val="12"/>
        </w:numPr>
        <w:spacing w:line="240" w:lineRule="auto"/>
        <w:jc w:val="both"/>
        <w:rPr>
          <w:bCs/>
          <w:lang w:val="nl-NL"/>
        </w:rPr>
      </w:pPr>
      <w:r w:rsidRPr="00BF3335">
        <w:rPr>
          <w:bCs/>
          <w:lang w:val="nl-NL"/>
        </w:rPr>
        <w:t>De grote lijnen van het voorgestelde evaluatiekader</w:t>
      </w:r>
      <w:r w:rsidR="00AF62D9">
        <w:rPr>
          <w:bCs/>
          <w:lang w:val="nl-NL"/>
        </w:rPr>
        <w:t xml:space="preserve"> dat zal</w:t>
      </w:r>
      <w:r w:rsidRPr="00BF3335">
        <w:rPr>
          <w:bCs/>
          <w:lang w:val="nl-NL"/>
        </w:rPr>
        <w:t xml:space="preserve"> gehanteerd worden om aan de</w:t>
      </w:r>
      <w:r w:rsidR="00AF62D9">
        <w:rPr>
          <w:bCs/>
          <w:lang w:val="nl-NL"/>
        </w:rPr>
        <w:t xml:space="preserve"> evaluatievragen en</w:t>
      </w:r>
      <w:r w:rsidRPr="00BF3335">
        <w:rPr>
          <w:bCs/>
          <w:lang w:val="nl-NL"/>
        </w:rPr>
        <w:t xml:space="preserve"> evaluatiedoelstellingen te beantwoorden. Indien relevant, kan naar bekende toepasselijke methodologische benaderingen of referentiekaders worden verwezen. Indien de inschrijver een zelf bedachte methodologische benadering voorstelt, zal een beknopte samenvatting van het innovatieve aspect en een rechtvaardiging van het gebruik van deze methodologie hernomen worden in dit onderdeel. </w:t>
      </w:r>
    </w:p>
    <w:p w14:paraId="7B2E6667" w14:textId="77777777" w:rsidR="00BF3335" w:rsidRPr="00BF3335" w:rsidRDefault="00BF3335">
      <w:pPr>
        <w:pStyle w:val="Vade-Mecum0"/>
        <w:numPr>
          <w:ilvl w:val="0"/>
          <w:numId w:val="10"/>
        </w:numPr>
        <w:spacing w:line="240" w:lineRule="auto"/>
        <w:rPr>
          <w:bCs/>
          <w:lang w:val="nl-NL"/>
        </w:rPr>
      </w:pPr>
      <w:r w:rsidRPr="00BF3335">
        <w:rPr>
          <w:bCs/>
          <w:lang w:val="nl-NL"/>
        </w:rPr>
        <w:t>Voorstel van praktische organisatie van de evaluatie</w:t>
      </w:r>
    </w:p>
    <w:p w14:paraId="3E1B6FC2" w14:textId="77777777" w:rsidR="00BF3335" w:rsidRPr="00BF3335" w:rsidRDefault="00BF3335">
      <w:pPr>
        <w:pStyle w:val="Vade-Mecum0"/>
        <w:numPr>
          <w:ilvl w:val="0"/>
          <w:numId w:val="12"/>
        </w:numPr>
        <w:spacing w:line="240" w:lineRule="auto"/>
        <w:rPr>
          <w:bCs/>
          <w:lang w:val="nl-NL"/>
        </w:rPr>
      </w:pPr>
      <w:r w:rsidRPr="00BF3335">
        <w:rPr>
          <w:bCs/>
          <w:lang w:val="nl-NL"/>
        </w:rPr>
        <w:t>Een beknopte presentatie van het inschrijvend studiebureau</w:t>
      </w:r>
      <w:bookmarkEnd w:id="759"/>
      <w:r w:rsidRPr="00BF3335">
        <w:rPr>
          <w:bCs/>
          <w:lang w:val="nl-NL"/>
        </w:rPr>
        <w:t>, en desgevallend van de geassocieerde bureaus</w:t>
      </w:r>
      <w:bookmarkEnd w:id="760"/>
      <w:r w:rsidRPr="00BF3335">
        <w:rPr>
          <w:bCs/>
          <w:lang w:val="nl-NL"/>
        </w:rPr>
        <w:t>;</w:t>
      </w:r>
    </w:p>
    <w:p w14:paraId="3D9B4682" w14:textId="77777777" w:rsidR="00BF3335" w:rsidRPr="009110B1" w:rsidRDefault="00BF3335">
      <w:pPr>
        <w:pStyle w:val="Vade-Mecum0"/>
        <w:numPr>
          <w:ilvl w:val="0"/>
          <w:numId w:val="12"/>
        </w:numPr>
        <w:spacing w:line="240" w:lineRule="auto"/>
        <w:rPr>
          <w:bCs/>
          <w:lang w:val="nl-NL"/>
        </w:rPr>
      </w:pPr>
      <w:r w:rsidRPr="009110B1">
        <w:rPr>
          <w:bCs/>
          <w:lang w:val="nl-NL"/>
        </w:rPr>
        <w:t>De structuur van het team, gender- en taalevenwicht inbegrepen;</w:t>
      </w:r>
    </w:p>
    <w:p w14:paraId="0E211462" w14:textId="5B510441" w:rsidR="008F7A20" w:rsidRPr="009110B1" w:rsidRDefault="00BF3335" w:rsidP="79A775EF">
      <w:pPr>
        <w:pStyle w:val="Vade-Mecum0"/>
        <w:numPr>
          <w:ilvl w:val="0"/>
          <w:numId w:val="12"/>
        </w:numPr>
        <w:spacing w:line="240" w:lineRule="auto"/>
        <w:jc w:val="both"/>
        <w:rPr>
          <w:lang w:val="nl-NL"/>
        </w:rPr>
      </w:pPr>
      <w:r w:rsidRPr="009110B1">
        <w:rPr>
          <w:lang w:val="nl-NL"/>
        </w:rPr>
        <w:t>Een kalender en indicatief werkplan, met verwijzing naar de verschillende evaluatiefasen zoals vermeld in de technische voorschriften (zie hoger, B</w:t>
      </w:r>
      <w:r w:rsidR="6D78B2C4" w:rsidRPr="009110B1">
        <w:rPr>
          <w:lang w:val="nl-NL"/>
        </w:rPr>
        <w:t>7</w:t>
      </w:r>
      <w:r w:rsidRPr="009110B1">
        <w:rPr>
          <w:lang w:val="nl-NL"/>
        </w:rPr>
        <w:t xml:space="preserve">. </w:t>
      </w:r>
      <w:r w:rsidR="15D04F66" w:rsidRPr="009110B1">
        <w:rPr>
          <w:lang w:val="nl-NL"/>
        </w:rPr>
        <w:t xml:space="preserve">Aanpak en </w:t>
      </w:r>
      <w:r w:rsidR="15177BC2" w:rsidRPr="009110B1">
        <w:rPr>
          <w:lang w:val="nl-NL"/>
        </w:rPr>
        <w:t>v</w:t>
      </w:r>
      <w:r w:rsidRPr="009110B1">
        <w:rPr>
          <w:lang w:val="nl-NL"/>
        </w:rPr>
        <w:t>erloop). Het staat de evaluatoren vrij om afwijkende voorstellen voor het verloop te formuleren, zolang hierdoor niet geraakt wordt aan de verwachte output van de evaluatie</w:t>
      </w:r>
      <w:r w:rsidR="00927914" w:rsidRPr="009110B1">
        <w:rPr>
          <w:lang w:val="nl-NL"/>
        </w:rPr>
        <w:t xml:space="preserve"> </w:t>
      </w:r>
      <w:r w:rsidRPr="009110B1">
        <w:rPr>
          <w:lang w:val="nl-NL"/>
        </w:rPr>
        <w:t xml:space="preserve"> Het is van wezenlijk belang dat de evaluatoren een correcte en toereikende inschatting maken van de benodigde inspanning en het aantal werkdagen per evaluator en per fase van de evaluatie, terreinzendingen in het bijzonder</w:t>
      </w:r>
      <w:r w:rsidR="00BD360D" w:rsidRPr="009110B1">
        <w:rPr>
          <w:lang w:val="nl-NL"/>
        </w:rPr>
        <w:t>;</w:t>
      </w:r>
    </w:p>
    <w:p w14:paraId="7F4EC5F9" w14:textId="128E6852" w:rsidR="00BF3335" w:rsidRPr="009110B1" w:rsidRDefault="00BF3335">
      <w:pPr>
        <w:pStyle w:val="Vade-Mecum0"/>
        <w:numPr>
          <w:ilvl w:val="0"/>
          <w:numId w:val="12"/>
        </w:numPr>
        <w:spacing w:line="240" w:lineRule="auto"/>
        <w:jc w:val="both"/>
        <w:rPr>
          <w:bCs/>
          <w:lang w:val="nl-NL"/>
        </w:rPr>
      </w:pPr>
      <w:r w:rsidRPr="00BF3335">
        <w:rPr>
          <w:bCs/>
          <w:lang w:val="nl-NL"/>
        </w:rPr>
        <w:t xml:space="preserve">De taakverdeling doorheen de verschillende evaluatiefasen, met verwijzing naar de voorziene kwaliteitscontrole en het back-upschema in geval van overmacht. De verdeling van de werkdagen tussen de leden van het evaluatieteam en binnen elke fase moet duidelijk zijn. </w:t>
      </w:r>
      <w:r w:rsidRPr="009110B1">
        <w:rPr>
          <w:bCs/>
          <w:lang w:val="nl-NL"/>
        </w:rPr>
        <w:t xml:space="preserve">Er moet ook een duidelijk onderscheid gemaakt worden tussen effectieve werkdagen op het terrein, voorbereidingsdagen voor de terreinzendingen en reisdagen. Er wordt ook verondersteld dat het werkrooster van de evaluatoren niet overbelast is. Vooral wat de terreinzendingen betreft, moet het werkrooster geloofwaardig zijn in verhouding tot de vooropgestelde resultaten. </w:t>
      </w:r>
    </w:p>
    <w:p w14:paraId="0C0DD3A7" w14:textId="33B051F8" w:rsidR="00BF3335" w:rsidRPr="009110B1" w:rsidRDefault="00BF3335">
      <w:pPr>
        <w:pStyle w:val="Vade-Mecum0"/>
        <w:numPr>
          <w:ilvl w:val="0"/>
          <w:numId w:val="10"/>
        </w:numPr>
        <w:spacing w:line="240" w:lineRule="auto"/>
        <w:jc w:val="both"/>
        <w:rPr>
          <w:bCs/>
          <w:lang w:val="nl-NL"/>
        </w:rPr>
      </w:pPr>
      <w:r w:rsidRPr="009110B1">
        <w:rPr>
          <w:bCs/>
          <w:lang w:val="nl-NL"/>
        </w:rPr>
        <w:t xml:space="preserve">Beschrijving van (i) de teamleider of de leidende ploeg, en (ii) de overige leden van het evaluatieteam, zowel internationaal als lokaal </w:t>
      </w:r>
    </w:p>
    <w:p w14:paraId="0F139AFF" w14:textId="372660AD" w:rsidR="002E455C" w:rsidRPr="009110B1" w:rsidRDefault="002E455C" w:rsidP="79A775EF">
      <w:pPr>
        <w:pStyle w:val="Vade-Mecum0"/>
        <w:numPr>
          <w:ilvl w:val="0"/>
          <w:numId w:val="12"/>
        </w:numPr>
        <w:spacing w:line="240" w:lineRule="auto"/>
        <w:jc w:val="both"/>
        <w:rPr>
          <w:lang w:val="nl-NL"/>
        </w:rPr>
      </w:pPr>
      <w:r w:rsidRPr="009110B1">
        <w:rPr>
          <w:lang w:val="nl-NL"/>
        </w:rPr>
        <w:t>Deze beschrijving toont in heldere bewoordingen aan dat de kwaliteiten van het evaluatieteam beantwoorden aan de in de technische voorschriften gevraagde expertise en ervaring (zie hoger, B</w:t>
      </w:r>
      <w:r w:rsidR="62DA8D69" w:rsidRPr="009110B1">
        <w:rPr>
          <w:lang w:val="nl-NL"/>
        </w:rPr>
        <w:t>9</w:t>
      </w:r>
      <w:r w:rsidRPr="009110B1">
        <w:rPr>
          <w:lang w:val="nl-NL"/>
        </w:rPr>
        <w:t>)</w:t>
      </w:r>
      <w:r w:rsidR="00BD360D" w:rsidRPr="009110B1">
        <w:rPr>
          <w:lang w:val="nl-NL"/>
        </w:rPr>
        <w:t>;</w:t>
      </w:r>
    </w:p>
    <w:p w14:paraId="7E2DE780" w14:textId="0586B837" w:rsidR="002E455C" w:rsidRDefault="002E455C">
      <w:pPr>
        <w:pStyle w:val="Vade-Mecum0"/>
        <w:numPr>
          <w:ilvl w:val="0"/>
          <w:numId w:val="12"/>
        </w:numPr>
        <w:spacing w:line="240" w:lineRule="auto"/>
        <w:jc w:val="both"/>
        <w:rPr>
          <w:bCs/>
          <w:lang w:val="nl-NL"/>
        </w:rPr>
      </w:pPr>
      <w:r w:rsidRPr="002E455C">
        <w:rPr>
          <w:bCs/>
          <w:lang w:val="nl-NL"/>
        </w:rPr>
        <w:t xml:space="preserve">Het CV van de evaluatoren moet duidelijk vermelden voor wat betreft welke interventies van de Belgische </w:t>
      </w:r>
      <w:r w:rsidR="00D36018">
        <w:rPr>
          <w:bCs/>
          <w:lang w:val="nl-NL"/>
        </w:rPr>
        <w:t>O</w:t>
      </w:r>
      <w:r w:rsidRPr="002E455C">
        <w:rPr>
          <w:bCs/>
          <w:lang w:val="nl-NL"/>
        </w:rPr>
        <w:t xml:space="preserve">ntwikkelingssamenwerking zij eventueel deelgenomen hebben aan de voorbereiding of uitvoering ervan, teneinde belangenconflicten te voorkomen. In geval van mogelijke belangenconflicten, dient de inschrijver aan te geven in de offerte hoe men hiermee in de taakverdeling om zal gaan. </w:t>
      </w:r>
    </w:p>
    <w:p w14:paraId="245F2F03" w14:textId="521B0DE3" w:rsidR="002E455C" w:rsidRDefault="002E455C" w:rsidP="002E455C">
      <w:pPr>
        <w:pStyle w:val="Vade-Mecum0"/>
        <w:spacing w:line="240" w:lineRule="auto"/>
        <w:jc w:val="both"/>
        <w:rPr>
          <w:bCs/>
          <w:lang w:val="nl-NL"/>
        </w:rPr>
      </w:pPr>
    </w:p>
    <w:p w14:paraId="6C4B15FB" w14:textId="77777777" w:rsidR="00BF3335" w:rsidRPr="00BF3335" w:rsidRDefault="00BF3335" w:rsidP="00BF3335">
      <w:pPr>
        <w:pStyle w:val="Vade-Mecum0"/>
        <w:rPr>
          <w:b/>
          <w:bCs/>
          <w:lang w:val="nl-NL"/>
        </w:rPr>
      </w:pPr>
      <w:r w:rsidRPr="00BF3335">
        <w:rPr>
          <w:b/>
          <w:bCs/>
          <w:lang w:val="nl-NL"/>
        </w:rPr>
        <w:lastRenderedPageBreak/>
        <w:t>Bijlagen</w:t>
      </w:r>
    </w:p>
    <w:p w14:paraId="287D1AFA" w14:textId="77777777" w:rsidR="006E473C" w:rsidRPr="00BF3335" w:rsidRDefault="006631F5" w:rsidP="006E473C">
      <w:pPr>
        <w:pStyle w:val="Vade-Mecum0"/>
        <w:spacing w:line="240" w:lineRule="auto"/>
        <w:jc w:val="both"/>
        <w:rPr>
          <w:bCs/>
          <w:lang w:val="nl-NL"/>
        </w:rPr>
      </w:pPr>
      <w:r w:rsidRPr="00155572">
        <w:rPr>
          <w:rStyle w:val="normaltextrun"/>
          <w:szCs w:val="22"/>
          <w:lang w:val="nl-NL"/>
        </w:rPr>
        <w:t>Alle bijlagen maken integraal deel uit van de offerte.</w:t>
      </w:r>
      <w:r w:rsidRPr="00155572">
        <w:rPr>
          <w:rStyle w:val="eop"/>
          <w:szCs w:val="22"/>
          <w:lang w:val="nl-NL"/>
        </w:rPr>
        <w:t> </w:t>
      </w:r>
      <w:r w:rsidR="006E473C" w:rsidRPr="00BF3335">
        <w:rPr>
          <w:bCs/>
          <w:lang w:val="nl-NL"/>
        </w:rPr>
        <w:t>Alle bijlagen dragen volgende vermelding: “Om gevoegd te worden bij mijn offerte van … en er integraal deel van uitmakend” (gevolgd door datum en handtekening alsook de naam, voornaam en hoedanigheid van degene die ondertekent).</w:t>
      </w:r>
    </w:p>
    <w:p w14:paraId="7F6AAA2A" w14:textId="77777777" w:rsidR="006631F5" w:rsidRPr="005101A5" w:rsidRDefault="006631F5" w:rsidP="006631F5">
      <w:pPr>
        <w:pStyle w:val="paragraph"/>
        <w:spacing w:before="0" w:beforeAutospacing="0" w:after="0" w:afterAutospacing="0"/>
        <w:jc w:val="both"/>
        <w:textAlignment w:val="baseline"/>
        <w:rPr>
          <w:rFonts w:ascii="Roboto" w:hAnsi="Roboto"/>
          <w:sz w:val="22"/>
          <w:szCs w:val="22"/>
          <w:lang w:val="nl-BE"/>
        </w:rPr>
      </w:pPr>
      <w:r w:rsidRPr="005101A5">
        <w:rPr>
          <w:rStyle w:val="normaltextrun"/>
          <w:rFonts w:ascii="Roboto" w:hAnsi="Roboto"/>
          <w:sz w:val="22"/>
          <w:szCs w:val="22"/>
          <w:lang w:val="nl-BE"/>
        </w:rPr>
        <w:t>Documenten bij de offerte te voegen:</w:t>
      </w:r>
      <w:r w:rsidRPr="005101A5">
        <w:rPr>
          <w:rStyle w:val="eop"/>
          <w:rFonts w:ascii="Roboto" w:eastAsiaTheme="majorEastAsia" w:hAnsi="Roboto"/>
          <w:sz w:val="22"/>
          <w:szCs w:val="22"/>
          <w:lang w:val="nl-BE"/>
        </w:rPr>
        <w:t> </w:t>
      </w:r>
    </w:p>
    <w:p w14:paraId="778D6E70" w14:textId="77777777" w:rsidR="00567604" w:rsidRPr="005101A5" w:rsidRDefault="00567604" w:rsidP="00567604">
      <w:pPr>
        <w:pStyle w:val="paragraph"/>
        <w:spacing w:before="0" w:beforeAutospacing="0" w:after="0" w:afterAutospacing="0"/>
        <w:jc w:val="both"/>
        <w:textAlignment w:val="baseline"/>
        <w:rPr>
          <w:rStyle w:val="normaltextrun"/>
          <w:rFonts w:ascii="Roboto" w:hAnsi="Roboto"/>
          <w:sz w:val="22"/>
          <w:szCs w:val="22"/>
          <w:lang w:val="nl-BE"/>
        </w:rPr>
      </w:pPr>
    </w:p>
    <w:p w14:paraId="3A0F0E5C" w14:textId="4892008A" w:rsidR="006631F5" w:rsidRPr="005101A5" w:rsidRDefault="006631F5">
      <w:pPr>
        <w:pStyle w:val="paragraph"/>
        <w:numPr>
          <w:ilvl w:val="0"/>
          <w:numId w:val="10"/>
        </w:numPr>
        <w:spacing w:before="0" w:beforeAutospacing="0" w:after="0" w:afterAutospacing="0"/>
        <w:jc w:val="both"/>
        <w:textAlignment w:val="baseline"/>
        <w:rPr>
          <w:rFonts w:ascii="Roboto" w:hAnsi="Roboto"/>
          <w:sz w:val="22"/>
          <w:szCs w:val="22"/>
          <w:lang w:val="nl-BE"/>
        </w:rPr>
      </w:pPr>
      <w:r w:rsidRPr="005101A5">
        <w:rPr>
          <w:rStyle w:val="normaltextrun"/>
          <w:rFonts w:ascii="Roboto" w:hAnsi="Roboto"/>
          <w:sz w:val="22"/>
          <w:szCs w:val="22"/>
          <w:lang w:val="nl-BE"/>
        </w:rPr>
        <w:t>Beschrijving van de onderneming van de inschrijver waarin hij zijn voornaamste troeven in verband met de diensten die in deze markt moeten uitgevoerd worden herneemt.</w:t>
      </w:r>
      <w:r w:rsidRPr="005101A5">
        <w:rPr>
          <w:rStyle w:val="eop"/>
          <w:rFonts w:ascii="Roboto" w:eastAsiaTheme="majorEastAsia" w:hAnsi="Roboto"/>
          <w:sz w:val="22"/>
          <w:szCs w:val="22"/>
          <w:lang w:val="nl-BE"/>
        </w:rPr>
        <w:t> </w:t>
      </w:r>
    </w:p>
    <w:p w14:paraId="6FA321FB" w14:textId="77777777" w:rsidR="00567604" w:rsidRPr="005101A5" w:rsidRDefault="00567604" w:rsidP="00567604">
      <w:pPr>
        <w:pStyle w:val="paragraph"/>
        <w:spacing w:before="0" w:beforeAutospacing="0" w:after="0" w:afterAutospacing="0"/>
        <w:jc w:val="both"/>
        <w:textAlignment w:val="baseline"/>
        <w:rPr>
          <w:rStyle w:val="normaltextrun"/>
          <w:rFonts w:ascii="Roboto" w:hAnsi="Roboto"/>
          <w:sz w:val="22"/>
          <w:szCs w:val="22"/>
          <w:lang w:val="nl-BE"/>
        </w:rPr>
      </w:pPr>
    </w:p>
    <w:p w14:paraId="0CF01316" w14:textId="61FCC687" w:rsidR="006631F5" w:rsidRPr="005101A5" w:rsidRDefault="00567604">
      <w:pPr>
        <w:pStyle w:val="paragraph"/>
        <w:numPr>
          <w:ilvl w:val="0"/>
          <w:numId w:val="10"/>
        </w:numPr>
        <w:spacing w:before="0" w:beforeAutospacing="0" w:after="0" w:afterAutospacing="0"/>
        <w:jc w:val="both"/>
        <w:textAlignment w:val="baseline"/>
        <w:rPr>
          <w:rFonts w:ascii="Roboto" w:hAnsi="Roboto"/>
          <w:sz w:val="22"/>
          <w:szCs w:val="22"/>
          <w:lang w:val="nl-BE"/>
        </w:rPr>
      </w:pPr>
      <w:r w:rsidRPr="005101A5">
        <w:rPr>
          <w:rStyle w:val="normaltextrun"/>
          <w:rFonts w:ascii="Roboto" w:hAnsi="Roboto"/>
          <w:sz w:val="22"/>
          <w:szCs w:val="22"/>
          <w:lang w:val="nl-BE"/>
        </w:rPr>
        <w:t>L</w:t>
      </w:r>
      <w:r w:rsidR="006631F5" w:rsidRPr="005101A5">
        <w:rPr>
          <w:rStyle w:val="normaltextrun"/>
          <w:rFonts w:ascii="Roboto" w:hAnsi="Roboto"/>
          <w:sz w:val="22"/>
          <w:szCs w:val="22"/>
          <w:lang w:val="nl-BE"/>
        </w:rPr>
        <w:t xml:space="preserve">ijst met elke evaluatie of studie, uitgevoerd door de leden van het evaluatieteam gedurende de voorbije </w:t>
      </w:r>
      <w:r w:rsidR="00D20E77">
        <w:rPr>
          <w:rStyle w:val="normaltextrun"/>
          <w:rFonts w:ascii="Roboto" w:hAnsi="Roboto"/>
          <w:sz w:val="22"/>
          <w:szCs w:val="22"/>
          <w:lang w:val="nl-BE"/>
        </w:rPr>
        <w:t>5</w:t>
      </w:r>
      <w:r w:rsidR="006631F5" w:rsidRPr="005101A5">
        <w:rPr>
          <w:rStyle w:val="normaltextrun"/>
          <w:rFonts w:ascii="Roboto" w:hAnsi="Roboto"/>
          <w:sz w:val="22"/>
          <w:szCs w:val="22"/>
          <w:lang w:val="nl-BE"/>
        </w:rPr>
        <w:t xml:space="preserve"> jaar of momenteel lopende, die relevant zijn in het kader van deze evaluatie. De lijst bevat de volgende inlichtingen:</w:t>
      </w:r>
      <w:r w:rsidR="006631F5" w:rsidRPr="005101A5">
        <w:rPr>
          <w:rStyle w:val="eop"/>
          <w:rFonts w:ascii="Roboto" w:eastAsiaTheme="majorEastAsia" w:hAnsi="Roboto"/>
          <w:sz w:val="22"/>
          <w:szCs w:val="22"/>
          <w:lang w:val="nl-BE"/>
        </w:rPr>
        <w:t> </w:t>
      </w:r>
    </w:p>
    <w:p w14:paraId="7118DB60" w14:textId="77777777" w:rsidR="006631F5" w:rsidRPr="006546C5" w:rsidRDefault="006631F5">
      <w:pPr>
        <w:pStyle w:val="paragraph"/>
        <w:numPr>
          <w:ilvl w:val="0"/>
          <w:numId w:val="14"/>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de titel van het eindrapport;</w:t>
      </w:r>
      <w:r w:rsidRPr="006546C5">
        <w:rPr>
          <w:rStyle w:val="eop"/>
          <w:rFonts w:ascii="Roboto" w:eastAsiaTheme="majorEastAsia" w:hAnsi="Roboto"/>
          <w:color w:val="000000"/>
          <w:sz w:val="22"/>
          <w:szCs w:val="22"/>
          <w:lang w:val="nl-NL"/>
        </w:rPr>
        <w:t> </w:t>
      </w:r>
    </w:p>
    <w:p w14:paraId="61A4EE67" w14:textId="77777777" w:rsidR="006631F5" w:rsidRPr="006546C5" w:rsidRDefault="006631F5">
      <w:pPr>
        <w:pStyle w:val="paragraph"/>
        <w:numPr>
          <w:ilvl w:val="0"/>
          <w:numId w:val="14"/>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het type actoren voor ontwikkelingssamenwerking waarop de evaluatie betrekking heeft;</w:t>
      </w:r>
      <w:r w:rsidRPr="006546C5">
        <w:rPr>
          <w:rStyle w:val="eop"/>
          <w:rFonts w:ascii="Roboto" w:eastAsiaTheme="majorEastAsia" w:hAnsi="Roboto"/>
          <w:color w:val="000000"/>
          <w:sz w:val="22"/>
          <w:szCs w:val="22"/>
          <w:lang w:val="nl-NL"/>
        </w:rPr>
        <w:t> </w:t>
      </w:r>
    </w:p>
    <w:p w14:paraId="0F5AE16D" w14:textId="77777777" w:rsidR="006631F5" w:rsidRPr="006546C5" w:rsidRDefault="006631F5">
      <w:pPr>
        <w:pStyle w:val="paragraph"/>
        <w:numPr>
          <w:ilvl w:val="0"/>
          <w:numId w:val="14"/>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het type evaluatie (ex-ante, tussentijds, finaal of ex-post);</w:t>
      </w:r>
      <w:r w:rsidRPr="006546C5">
        <w:rPr>
          <w:rStyle w:val="eop"/>
          <w:rFonts w:ascii="Roboto" w:eastAsiaTheme="majorEastAsia" w:hAnsi="Roboto"/>
          <w:color w:val="000000"/>
          <w:sz w:val="22"/>
          <w:szCs w:val="22"/>
          <w:lang w:val="nl-NL"/>
        </w:rPr>
        <w:t> </w:t>
      </w:r>
    </w:p>
    <w:p w14:paraId="2C86DDAD" w14:textId="77777777" w:rsidR="006631F5" w:rsidRPr="006546C5" w:rsidRDefault="006631F5">
      <w:pPr>
        <w:pStyle w:val="paragraph"/>
        <w:numPr>
          <w:ilvl w:val="0"/>
          <w:numId w:val="14"/>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het voorwerp, de sector of het thema van de evaluatie;</w:t>
      </w:r>
      <w:r w:rsidRPr="006546C5">
        <w:rPr>
          <w:rStyle w:val="eop"/>
          <w:rFonts w:ascii="Roboto" w:eastAsiaTheme="majorEastAsia" w:hAnsi="Roboto"/>
          <w:color w:val="000000"/>
          <w:sz w:val="22"/>
          <w:szCs w:val="22"/>
          <w:lang w:val="nl-NL"/>
        </w:rPr>
        <w:t> </w:t>
      </w:r>
    </w:p>
    <w:p w14:paraId="4CF30FD6" w14:textId="77777777" w:rsidR="006631F5" w:rsidRPr="006546C5" w:rsidRDefault="006631F5">
      <w:pPr>
        <w:pStyle w:val="paragraph"/>
        <w:numPr>
          <w:ilvl w:val="0"/>
          <w:numId w:val="14"/>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de samenstelling van het evaluatieteam;</w:t>
      </w:r>
      <w:r w:rsidRPr="006546C5">
        <w:rPr>
          <w:rStyle w:val="eop"/>
          <w:rFonts w:ascii="Roboto" w:eastAsiaTheme="majorEastAsia" w:hAnsi="Roboto"/>
          <w:color w:val="000000"/>
          <w:sz w:val="22"/>
          <w:szCs w:val="22"/>
          <w:lang w:val="nl-NL"/>
        </w:rPr>
        <w:t> </w:t>
      </w:r>
    </w:p>
    <w:p w14:paraId="23B3645A" w14:textId="77777777" w:rsidR="006631F5" w:rsidRPr="006546C5" w:rsidRDefault="006631F5">
      <w:pPr>
        <w:pStyle w:val="paragraph"/>
        <w:numPr>
          <w:ilvl w:val="0"/>
          <w:numId w:val="15"/>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de opdrachtgever van de evaluatie;</w:t>
      </w:r>
      <w:r w:rsidRPr="006546C5">
        <w:rPr>
          <w:rStyle w:val="eop"/>
          <w:rFonts w:ascii="Roboto" w:eastAsiaTheme="majorEastAsia" w:hAnsi="Roboto"/>
          <w:color w:val="000000"/>
          <w:sz w:val="22"/>
          <w:szCs w:val="22"/>
          <w:lang w:val="nl-NL"/>
        </w:rPr>
        <w:t> </w:t>
      </w:r>
    </w:p>
    <w:p w14:paraId="341DA1D8" w14:textId="77777777" w:rsidR="006631F5" w:rsidRPr="006546C5" w:rsidRDefault="006631F5">
      <w:pPr>
        <w:pStyle w:val="paragraph"/>
        <w:numPr>
          <w:ilvl w:val="0"/>
          <w:numId w:val="15"/>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het totale aantal dagen besteed aan de evaluatie (een onderscheid makend met het deel uitgevoerd op het terrein);</w:t>
      </w:r>
      <w:r w:rsidRPr="006546C5">
        <w:rPr>
          <w:rStyle w:val="eop"/>
          <w:rFonts w:ascii="Roboto" w:eastAsiaTheme="majorEastAsia" w:hAnsi="Roboto"/>
          <w:color w:val="000000"/>
          <w:sz w:val="22"/>
          <w:szCs w:val="22"/>
          <w:lang w:val="nl-NL"/>
        </w:rPr>
        <w:t> </w:t>
      </w:r>
    </w:p>
    <w:p w14:paraId="6FD6AA71" w14:textId="77777777" w:rsidR="006631F5" w:rsidRPr="006546C5" w:rsidRDefault="006631F5">
      <w:pPr>
        <w:pStyle w:val="paragraph"/>
        <w:numPr>
          <w:ilvl w:val="0"/>
          <w:numId w:val="15"/>
        </w:numPr>
        <w:spacing w:before="0" w:beforeAutospacing="0" w:after="0" w:afterAutospacing="0"/>
        <w:ind w:left="1440" w:firstLine="0"/>
        <w:jc w:val="both"/>
        <w:textAlignment w:val="baseline"/>
        <w:rPr>
          <w:rFonts w:ascii="Roboto" w:hAnsi="Roboto"/>
          <w:color w:val="000000"/>
          <w:sz w:val="22"/>
          <w:szCs w:val="22"/>
          <w:lang w:val="nl-NL"/>
        </w:rPr>
      </w:pPr>
      <w:r w:rsidRPr="00155572">
        <w:rPr>
          <w:rStyle w:val="normaltextrun"/>
          <w:rFonts w:ascii="Roboto" w:hAnsi="Roboto"/>
          <w:color w:val="000000"/>
          <w:sz w:val="22"/>
          <w:szCs w:val="22"/>
          <w:lang w:val="nl-NL"/>
        </w:rPr>
        <w:t>de datum van indiening van het eindverslag.</w:t>
      </w:r>
      <w:r w:rsidRPr="006546C5">
        <w:rPr>
          <w:rStyle w:val="eop"/>
          <w:rFonts w:ascii="Roboto" w:eastAsiaTheme="majorEastAsia" w:hAnsi="Roboto"/>
          <w:color w:val="000000"/>
          <w:sz w:val="22"/>
          <w:szCs w:val="22"/>
          <w:lang w:val="nl-NL"/>
        </w:rPr>
        <w:t> </w:t>
      </w:r>
    </w:p>
    <w:p w14:paraId="5BFE2806" w14:textId="77777777" w:rsidR="00567604" w:rsidRPr="006546C5" w:rsidRDefault="00567604" w:rsidP="00567604">
      <w:pPr>
        <w:pStyle w:val="paragraph"/>
        <w:spacing w:before="0" w:beforeAutospacing="0" w:after="0" w:afterAutospacing="0"/>
        <w:jc w:val="both"/>
        <w:textAlignment w:val="baseline"/>
        <w:rPr>
          <w:rStyle w:val="normaltextrun"/>
          <w:rFonts w:ascii="Roboto" w:hAnsi="Roboto"/>
          <w:sz w:val="22"/>
          <w:szCs w:val="22"/>
          <w:lang w:val="nl-NL"/>
        </w:rPr>
      </w:pPr>
    </w:p>
    <w:p w14:paraId="19559C20" w14:textId="205F860B" w:rsidR="006631F5" w:rsidRPr="005101A5" w:rsidRDefault="00567604">
      <w:pPr>
        <w:pStyle w:val="paragraph"/>
        <w:numPr>
          <w:ilvl w:val="0"/>
          <w:numId w:val="10"/>
        </w:numPr>
        <w:spacing w:before="0" w:beforeAutospacing="0" w:after="0" w:afterAutospacing="0"/>
        <w:jc w:val="both"/>
        <w:textAlignment w:val="baseline"/>
        <w:rPr>
          <w:rFonts w:ascii="Roboto" w:hAnsi="Roboto"/>
          <w:sz w:val="22"/>
          <w:szCs w:val="22"/>
          <w:lang w:val="nl-BE"/>
        </w:rPr>
      </w:pPr>
      <w:r w:rsidRPr="005101A5">
        <w:rPr>
          <w:rStyle w:val="normaltextrun"/>
          <w:rFonts w:ascii="Roboto" w:hAnsi="Roboto"/>
          <w:sz w:val="22"/>
          <w:szCs w:val="22"/>
          <w:lang w:val="nl-BE"/>
        </w:rPr>
        <w:t>D</w:t>
      </w:r>
      <w:r w:rsidR="006631F5" w:rsidRPr="005101A5">
        <w:rPr>
          <w:rStyle w:val="normaltextrun"/>
          <w:rFonts w:ascii="Roboto" w:hAnsi="Roboto"/>
          <w:sz w:val="22"/>
          <w:szCs w:val="22"/>
          <w:lang w:val="nl-BE"/>
        </w:rPr>
        <w:t>e statuten of elk ander document dat het mandaat van de ondertekenaar(s) bewijst;</w:t>
      </w:r>
      <w:r w:rsidR="006631F5" w:rsidRPr="005101A5">
        <w:rPr>
          <w:rStyle w:val="eop"/>
          <w:rFonts w:ascii="Roboto" w:eastAsiaTheme="majorEastAsia" w:hAnsi="Roboto"/>
          <w:sz w:val="22"/>
          <w:szCs w:val="22"/>
          <w:lang w:val="nl-BE"/>
        </w:rPr>
        <w:t> </w:t>
      </w:r>
    </w:p>
    <w:p w14:paraId="4F3AFB76" w14:textId="77777777" w:rsidR="00567604" w:rsidRPr="005101A5" w:rsidRDefault="00567604" w:rsidP="00567604">
      <w:pPr>
        <w:pStyle w:val="paragraph"/>
        <w:spacing w:before="0" w:beforeAutospacing="0" w:after="0" w:afterAutospacing="0"/>
        <w:jc w:val="both"/>
        <w:textAlignment w:val="baseline"/>
        <w:rPr>
          <w:rStyle w:val="normaltextrun"/>
          <w:rFonts w:ascii="Roboto" w:hAnsi="Roboto"/>
          <w:sz w:val="22"/>
          <w:szCs w:val="22"/>
          <w:lang w:val="nl-BE"/>
        </w:rPr>
      </w:pPr>
    </w:p>
    <w:p w14:paraId="045340D5" w14:textId="45D6F518" w:rsidR="006631F5" w:rsidRPr="005101A5" w:rsidRDefault="006631F5">
      <w:pPr>
        <w:pStyle w:val="paragraph"/>
        <w:numPr>
          <w:ilvl w:val="0"/>
          <w:numId w:val="10"/>
        </w:numPr>
        <w:spacing w:before="0" w:beforeAutospacing="0" w:after="0" w:afterAutospacing="0"/>
        <w:jc w:val="both"/>
        <w:textAlignment w:val="baseline"/>
        <w:rPr>
          <w:rStyle w:val="eop"/>
          <w:rFonts w:ascii="Roboto" w:hAnsi="Roboto"/>
          <w:sz w:val="22"/>
          <w:szCs w:val="22"/>
          <w:lang w:val="nl-BE"/>
        </w:rPr>
      </w:pPr>
      <w:r w:rsidRPr="005101A5">
        <w:rPr>
          <w:rStyle w:val="normaltextrun"/>
          <w:rFonts w:ascii="Roboto" w:hAnsi="Roboto"/>
          <w:sz w:val="22"/>
          <w:szCs w:val="22"/>
          <w:lang w:val="nl-BE"/>
        </w:rPr>
        <w:t xml:space="preserve">Uitvoerig </w:t>
      </w:r>
      <w:r w:rsidR="00CC2F0E" w:rsidRPr="005101A5">
        <w:rPr>
          <w:rStyle w:val="normaltextrun"/>
          <w:rFonts w:ascii="Roboto" w:hAnsi="Roboto"/>
          <w:sz w:val="22"/>
          <w:szCs w:val="22"/>
          <w:lang w:val="nl-BE"/>
        </w:rPr>
        <w:t>CV</w:t>
      </w:r>
      <w:r w:rsidRPr="005101A5">
        <w:rPr>
          <w:rStyle w:val="normaltextrun"/>
          <w:rFonts w:ascii="Roboto" w:hAnsi="Roboto"/>
          <w:sz w:val="22"/>
          <w:szCs w:val="22"/>
          <w:lang w:val="nl-BE"/>
        </w:rPr>
        <w:t xml:space="preserve"> van de personen voorgesteld om de diensten die in het deel B worden beschreven uit te voeren. De curricula vitae van de leden van het evaluatieteam worden gevolgd door een beschikbaarheidsverklaring.</w:t>
      </w:r>
    </w:p>
    <w:p w14:paraId="741DAB2B" w14:textId="77777777" w:rsidR="00567604" w:rsidRPr="006546C5" w:rsidRDefault="00567604" w:rsidP="00567604">
      <w:pPr>
        <w:pStyle w:val="paragraph"/>
        <w:spacing w:before="0" w:beforeAutospacing="0" w:after="0" w:afterAutospacing="0"/>
        <w:ind w:left="720"/>
        <w:jc w:val="both"/>
        <w:textAlignment w:val="baseline"/>
        <w:rPr>
          <w:rFonts w:ascii="Roboto" w:hAnsi="Roboto"/>
          <w:sz w:val="22"/>
          <w:szCs w:val="22"/>
          <w:lang w:val="nl-NL"/>
        </w:rPr>
      </w:pPr>
    </w:p>
    <w:p w14:paraId="212C04DE" w14:textId="044B7E46" w:rsidR="00BF3335" w:rsidRDefault="00BF3335">
      <w:pPr>
        <w:pStyle w:val="Vade-Mecum0"/>
        <w:numPr>
          <w:ilvl w:val="0"/>
          <w:numId w:val="10"/>
        </w:numPr>
        <w:spacing w:line="240" w:lineRule="auto"/>
        <w:jc w:val="both"/>
        <w:rPr>
          <w:bCs/>
          <w:lang w:val="nl-NL"/>
        </w:rPr>
      </w:pPr>
      <w:r w:rsidRPr="00BF3335">
        <w:rPr>
          <w:bCs/>
          <w:lang w:val="nl-NL"/>
        </w:rPr>
        <w:t xml:space="preserve">De bijlagen bevatten ook een beschrijving toe van </w:t>
      </w:r>
      <w:r w:rsidRPr="00567604">
        <w:rPr>
          <w:bCs/>
          <w:lang w:val="nl-NL"/>
        </w:rPr>
        <w:t>de ESG-maatregelen (milieu, sociaal en bestuur) waartoe de inschrijver zich verbindt in het kader van deze opdracht.</w:t>
      </w:r>
    </w:p>
    <w:p w14:paraId="000DEAB5" w14:textId="77777777" w:rsidR="006546C5" w:rsidRDefault="006546C5" w:rsidP="006546C5">
      <w:pPr>
        <w:pStyle w:val="ListParagraph"/>
        <w:rPr>
          <w:bCs/>
          <w:lang w:val="nl-NL"/>
        </w:rPr>
      </w:pPr>
    </w:p>
    <w:p w14:paraId="5F37F063" w14:textId="2B76E1EC" w:rsidR="006546C5" w:rsidRDefault="006546C5" w:rsidP="006546C5">
      <w:pPr>
        <w:pStyle w:val="Vade-Mecum0"/>
        <w:spacing w:line="240" w:lineRule="auto"/>
        <w:jc w:val="both"/>
        <w:rPr>
          <w:bCs/>
          <w:lang w:val="nl-NL"/>
        </w:rPr>
      </w:pPr>
    </w:p>
    <w:p w14:paraId="0AC5ED16" w14:textId="3389F8B7" w:rsidR="006546C5" w:rsidRDefault="006546C5" w:rsidP="006546C5">
      <w:pPr>
        <w:pStyle w:val="Vade-Mecum0"/>
        <w:spacing w:line="240" w:lineRule="auto"/>
        <w:jc w:val="both"/>
        <w:rPr>
          <w:bCs/>
          <w:lang w:val="nl-NL"/>
        </w:rPr>
      </w:pPr>
    </w:p>
    <w:p w14:paraId="4F17551A" w14:textId="08BB49C0" w:rsidR="006546C5" w:rsidRDefault="006546C5" w:rsidP="006546C5">
      <w:pPr>
        <w:pStyle w:val="Vade-Mecum0"/>
        <w:spacing w:line="240" w:lineRule="auto"/>
        <w:jc w:val="both"/>
        <w:rPr>
          <w:bCs/>
          <w:lang w:val="nl-NL"/>
        </w:rPr>
      </w:pPr>
    </w:p>
    <w:p w14:paraId="14091130" w14:textId="53C6BEE8" w:rsidR="006546C5" w:rsidRDefault="006546C5" w:rsidP="006546C5">
      <w:pPr>
        <w:pStyle w:val="Vade-Mecum0"/>
        <w:spacing w:line="240" w:lineRule="auto"/>
        <w:jc w:val="both"/>
        <w:rPr>
          <w:bCs/>
          <w:lang w:val="nl-NL"/>
        </w:rPr>
      </w:pPr>
    </w:p>
    <w:p w14:paraId="0A96AFE3" w14:textId="1539313F" w:rsidR="006546C5" w:rsidRDefault="006546C5" w:rsidP="006546C5">
      <w:pPr>
        <w:pStyle w:val="Vade-Mecum0"/>
        <w:spacing w:line="240" w:lineRule="auto"/>
        <w:jc w:val="both"/>
        <w:rPr>
          <w:bCs/>
          <w:lang w:val="nl-NL"/>
        </w:rPr>
      </w:pPr>
    </w:p>
    <w:p w14:paraId="4E22F46F" w14:textId="668F10FB" w:rsidR="006546C5" w:rsidRDefault="006546C5" w:rsidP="006546C5">
      <w:pPr>
        <w:pStyle w:val="Vade-Mecum0"/>
        <w:spacing w:line="240" w:lineRule="auto"/>
        <w:jc w:val="both"/>
        <w:rPr>
          <w:bCs/>
          <w:lang w:val="nl-NL"/>
        </w:rPr>
      </w:pPr>
    </w:p>
    <w:p w14:paraId="198B5D5B" w14:textId="5C812C1A" w:rsidR="006546C5" w:rsidRDefault="006546C5" w:rsidP="006546C5">
      <w:pPr>
        <w:pStyle w:val="Vade-Mecum0"/>
        <w:spacing w:line="240" w:lineRule="auto"/>
        <w:jc w:val="both"/>
        <w:rPr>
          <w:bCs/>
          <w:lang w:val="nl-NL"/>
        </w:rPr>
      </w:pPr>
    </w:p>
    <w:p w14:paraId="6285D7AE" w14:textId="204252CD" w:rsidR="006546C5" w:rsidRDefault="006546C5" w:rsidP="006546C5">
      <w:pPr>
        <w:pStyle w:val="Vade-Mecum0"/>
        <w:spacing w:line="240" w:lineRule="auto"/>
        <w:jc w:val="both"/>
        <w:rPr>
          <w:bCs/>
          <w:lang w:val="nl-NL"/>
        </w:rPr>
      </w:pPr>
    </w:p>
    <w:p w14:paraId="2B6F4AA1" w14:textId="77777777" w:rsidR="006546C5" w:rsidRPr="00BF3335" w:rsidRDefault="006546C5" w:rsidP="006546C5">
      <w:pPr>
        <w:pStyle w:val="Vade-Mecum0"/>
        <w:spacing w:line="240" w:lineRule="auto"/>
        <w:jc w:val="both"/>
        <w:rPr>
          <w:bCs/>
          <w:lang w:val="nl-NL"/>
        </w:rPr>
      </w:pPr>
    </w:p>
    <w:p w14:paraId="30C386A6" w14:textId="738656E9" w:rsidR="00BF3335" w:rsidRPr="00BF3335" w:rsidRDefault="00BF3335">
      <w:pPr>
        <w:pStyle w:val="Vade-mecumtitre2"/>
      </w:pPr>
      <w:bookmarkStart w:id="761" w:name="_Toc29741237"/>
      <w:bookmarkStart w:id="762" w:name="_Toc113544507"/>
      <w:bookmarkStart w:id="763" w:name="_Toc114066814"/>
      <w:bookmarkStart w:id="764" w:name="_Toc115882702"/>
      <w:bookmarkStart w:id="765" w:name="_Toc117601185"/>
      <w:r>
        <w:lastRenderedPageBreak/>
        <w:t>C1</w:t>
      </w:r>
      <w:r w:rsidRPr="79A775EF">
        <w:rPr>
          <w:lang w:val="nl-NL"/>
        </w:rPr>
        <w:t>.2 Financiële offerte</w:t>
      </w:r>
      <w:bookmarkEnd w:id="761"/>
      <w:bookmarkEnd w:id="762"/>
      <w:bookmarkEnd w:id="763"/>
      <w:bookmarkEnd w:id="764"/>
      <w:bookmarkEnd w:id="765"/>
    </w:p>
    <w:p w14:paraId="58116B84" w14:textId="77777777" w:rsidR="00BF3335" w:rsidRPr="0090117F" w:rsidRDefault="00BF3335" w:rsidP="00DA6338">
      <w:pPr>
        <w:pStyle w:val="Vade-Mecum0"/>
        <w:spacing w:line="240" w:lineRule="auto"/>
        <w:jc w:val="both"/>
        <w:rPr>
          <w:sz w:val="20"/>
          <w:szCs w:val="20"/>
          <w:lang w:val="nl-NL"/>
        </w:rPr>
      </w:pPr>
      <w:r w:rsidRPr="0090117F">
        <w:rPr>
          <w:sz w:val="20"/>
          <w:szCs w:val="20"/>
          <w:lang w:val="nl-NL"/>
        </w:rPr>
        <w:t>Om de vergelijking van de offertes te vergemakkelijken, wordt gevraagd om de onderstaande indicatieve tabel als basis te hanteren bij het opmaken van de financiële offerte. Uit de tabel in de financiële offerte moet makkelijk kunnen afgeleid worden hoeveel dagen aan welke prijs elke evaluator werkt, hoeveel elke fase van de evaluatie kost, hoeveel elke missie kost, hoeveel de vertaling kost, etc.</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134"/>
        <w:gridCol w:w="1417"/>
        <w:gridCol w:w="851"/>
        <w:gridCol w:w="963"/>
        <w:gridCol w:w="1134"/>
        <w:gridCol w:w="1305"/>
      </w:tblGrid>
      <w:tr w:rsidR="00BF3335" w:rsidRPr="00BF3335" w14:paraId="246E1823" w14:textId="77777777" w:rsidTr="00DA6338">
        <w:trPr>
          <w:trHeight w:val="591"/>
        </w:trPr>
        <w:tc>
          <w:tcPr>
            <w:tcW w:w="2452" w:type="dxa"/>
            <w:shd w:val="clear" w:color="auto" w:fill="auto"/>
            <w:vAlign w:val="center"/>
          </w:tcPr>
          <w:p w14:paraId="245E4002" w14:textId="77777777" w:rsidR="00BF3335" w:rsidRPr="0030401A" w:rsidRDefault="00BF3335" w:rsidP="00BF3335">
            <w:pPr>
              <w:pStyle w:val="Vade-Mecum0"/>
              <w:rPr>
                <w:b/>
                <w:bCs/>
                <w:sz w:val="20"/>
                <w:szCs w:val="20"/>
                <w:lang w:val="nl-NL"/>
              </w:rPr>
            </w:pPr>
            <w:r w:rsidRPr="0030401A">
              <w:rPr>
                <w:b/>
                <w:bCs/>
                <w:sz w:val="20"/>
                <w:szCs w:val="20"/>
                <w:lang w:val="nl-NL"/>
              </w:rPr>
              <w:t>Uitgaverubriek</w:t>
            </w:r>
          </w:p>
        </w:tc>
        <w:tc>
          <w:tcPr>
            <w:tcW w:w="1134" w:type="dxa"/>
            <w:shd w:val="clear" w:color="auto" w:fill="auto"/>
            <w:vAlign w:val="center"/>
          </w:tcPr>
          <w:p w14:paraId="4ECA4572" w14:textId="77777777" w:rsidR="00BF3335" w:rsidRPr="0030401A" w:rsidRDefault="00BF3335" w:rsidP="00BF3335">
            <w:pPr>
              <w:pStyle w:val="Vade-Mecum0"/>
              <w:rPr>
                <w:bCs/>
                <w:sz w:val="20"/>
                <w:szCs w:val="20"/>
                <w:lang w:val="nl-NL"/>
              </w:rPr>
            </w:pPr>
            <w:r w:rsidRPr="0030401A">
              <w:rPr>
                <w:bCs/>
                <w:sz w:val="20"/>
                <w:szCs w:val="20"/>
                <w:lang w:val="nl-NL"/>
              </w:rPr>
              <w:t>Eenheid</w:t>
            </w:r>
          </w:p>
        </w:tc>
        <w:tc>
          <w:tcPr>
            <w:tcW w:w="1417" w:type="dxa"/>
            <w:shd w:val="clear" w:color="auto" w:fill="auto"/>
            <w:vAlign w:val="center"/>
          </w:tcPr>
          <w:p w14:paraId="40D71383" w14:textId="77777777" w:rsidR="00BF3335" w:rsidRPr="0030401A" w:rsidRDefault="00BF3335" w:rsidP="00BF3335">
            <w:pPr>
              <w:pStyle w:val="Vade-Mecum0"/>
              <w:rPr>
                <w:bCs/>
                <w:sz w:val="20"/>
                <w:szCs w:val="20"/>
                <w:lang w:val="nl-NL"/>
              </w:rPr>
            </w:pPr>
            <w:r w:rsidRPr="0030401A">
              <w:rPr>
                <w:bCs/>
                <w:sz w:val="20"/>
                <w:szCs w:val="20"/>
                <w:lang w:val="nl-NL"/>
              </w:rPr>
              <w:t>Eenheidsprijs</w:t>
            </w:r>
          </w:p>
        </w:tc>
        <w:tc>
          <w:tcPr>
            <w:tcW w:w="851" w:type="dxa"/>
            <w:shd w:val="clear" w:color="auto" w:fill="auto"/>
            <w:vAlign w:val="center"/>
          </w:tcPr>
          <w:p w14:paraId="16144E0D" w14:textId="77777777" w:rsidR="00BF3335" w:rsidRPr="0030401A" w:rsidRDefault="00BF3335" w:rsidP="00BF3335">
            <w:pPr>
              <w:pStyle w:val="Vade-Mecum0"/>
              <w:rPr>
                <w:bCs/>
                <w:sz w:val="20"/>
                <w:szCs w:val="20"/>
                <w:lang w:val="nl-NL"/>
              </w:rPr>
            </w:pPr>
            <w:r w:rsidRPr="0030401A">
              <w:rPr>
                <w:bCs/>
                <w:sz w:val="20"/>
                <w:szCs w:val="20"/>
                <w:lang w:val="nl-NL"/>
              </w:rPr>
              <w:t>Aantal</w:t>
            </w:r>
          </w:p>
        </w:tc>
        <w:tc>
          <w:tcPr>
            <w:tcW w:w="963" w:type="dxa"/>
            <w:shd w:val="clear" w:color="auto" w:fill="auto"/>
            <w:vAlign w:val="center"/>
          </w:tcPr>
          <w:p w14:paraId="24030AD0" w14:textId="77777777" w:rsidR="00BF3335" w:rsidRPr="0030401A" w:rsidRDefault="00BF3335" w:rsidP="00BF3335">
            <w:pPr>
              <w:pStyle w:val="Vade-Mecum0"/>
              <w:rPr>
                <w:bCs/>
                <w:sz w:val="20"/>
                <w:szCs w:val="20"/>
                <w:lang w:val="nl-NL"/>
              </w:rPr>
            </w:pPr>
            <w:r w:rsidRPr="0030401A">
              <w:rPr>
                <w:bCs/>
                <w:sz w:val="20"/>
                <w:szCs w:val="20"/>
                <w:lang w:val="nl-NL"/>
              </w:rPr>
              <w:t>Totaal</w:t>
            </w:r>
          </w:p>
        </w:tc>
        <w:tc>
          <w:tcPr>
            <w:tcW w:w="1134" w:type="dxa"/>
            <w:vAlign w:val="center"/>
          </w:tcPr>
          <w:p w14:paraId="23C288FC" w14:textId="77777777" w:rsidR="00BF3335" w:rsidRPr="0030401A" w:rsidRDefault="00BF3335" w:rsidP="00BF3335">
            <w:pPr>
              <w:pStyle w:val="Vade-Mecum0"/>
              <w:rPr>
                <w:bCs/>
                <w:sz w:val="20"/>
                <w:szCs w:val="20"/>
                <w:lang w:val="nl-NL"/>
              </w:rPr>
            </w:pPr>
            <w:r w:rsidRPr="0030401A">
              <w:rPr>
                <w:bCs/>
                <w:sz w:val="20"/>
                <w:szCs w:val="20"/>
                <w:lang w:val="nl-NL"/>
              </w:rPr>
              <w:t>BTW</w:t>
            </w:r>
          </w:p>
        </w:tc>
        <w:tc>
          <w:tcPr>
            <w:tcW w:w="1305" w:type="dxa"/>
            <w:shd w:val="clear" w:color="auto" w:fill="FFFFFF"/>
            <w:vAlign w:val="center"/>
          </w:tcPr>
          <w:p w14:paraId="790DE098" w14:textId="77777777" w:rsidR="00BF3335" w:rsidRPr="0030401A" w:rsidRDefault="00BF3335" w:rsidP="00BF3335">
            <w:pPr>
              <w:pStyle w:val="Vade-Mecum0"/>
              <w:rPr>
                <w:bCs/>
                <w:sz w:val="20"/>
                <w:szCs w:val="20"/>
                <w:lang w:val="nl-NL"/>
              </w:rPr>
            </w:pPr>
            <w:r w:rsidRPr="0030401A">
              <w:rPr>
                <w:bCs/>
                <w:sz w:val="20"/>
                <w:szCs w:val="20"/>
                <w:lang w:val="nl-NL"/>
              </w:rPr>
              <w:t>Totaal (incl. BTW)</w:t>
            </w:r>
          </w:p>
        </w:tc>
      </w:tr>
      <w:tr w:rsidR="00BF3335" w:rsidRPr="00BF3335" w14:paraId="72293D96" w14:textId="77777777" w:rsidTr="00DA6338">
        <w:trPr>
          <w:trHeight w:val="255"/>
        </w:trPr>
        <w:tc>
          <w:tcPr>
            <w:tcW w:w="2452" w:type="dxa"/>
            <w:shd w:val="clear" w:color="auto" w:fill="auto"/>
          </w:tcPr>
          <w:p w14:paraId="2EA0C65D" w14:textId="77777777" w:rsidR="00BF3335" w:rsidRPr="0030401A" w:rsidRDefault="00BF3335" w:rsidP="00DA6338">
            <w:pPr>
              <w:pStyle w:val="Vade-Mecum0"/>
              <w:spacing w:line="240" w:lineRule="auto"/>
              <w:rPr>
                <w:sz w:val="20"/>
                <w:szCs w:val="20"/>
                <w:lang w:val="nl-NL"/>
              </w:rPr>
            </w:pPr>
            <w:r w:rsidRPr="0030401A">
              <w:rPr>
                <w:sz w:val="20"/>
                <w:szCs w:val="20"/>
                <w:lang w:val="nl-NL"/>
              </w:rPr>
              <w:t>Bezoldiging evaluator … [</w:t>
            </w:r>
            <w:r w:rsidRPr="0030401A">
              <w:rPr>
                <w:i/>
                <w:sz w:val="20"/>
                <w:szCs w:val="20"/>
                <w:lang w:val="nl-NL"/>
              </w:rPr>
              <w:t>naam evaluator</w:t>
            </w:r>
            <w:r w:rsidRPr="0030401A">
              <w:rPr>
                <w:sz w:val="20"/>
                <w:szCs w:val="20"/>
                <w:lang w:val="nl-NL"/>
              </w:rPr>
              <w:t>]</w:t>
            </w:r>
          </w:p>
        </w:tc>
        <w:tc>
          <w:tcPr>
            <w:tcW w:w="1134" w:type="dxa"/>
            <w:shd w:val="clear" w:color="auto" w:fill="auto"/>
            <w:noWrap/>
            <w:vAlign w:val="center"/>
          </w:tcPr>
          <w:p w14:paraId="68E6BAD8" w14:textId="77777777" w:rsidR="00BF3335" w:rsidRPr="0030401A" w:rsidRDefault="00BF3335" w:rsidP="00BF3335">
            <w:pPr>
              <w:pStyle w:val="Vade-Mecum0"/>
              <w:rPr>
                <w:sz w:val="20"/>
                <w:szCs w:val="20"/>
                <w:lang w:val="nl-NL"/>
              </w:rPr>
            </w:pPr>
            <w:r w:rsidRPr="0030401A">
              <w:rPr>
                <w:sz w:val="20"/>
                <w:szCs w:val="20"/>
                <w:lang w:val="nl-NL"/>
              </w:rPr>
              <w:t>dagen</w:t>
            </w:r>
          </w:p>
        </w:tc>
        <w:tc>
          <w:tcPr>
            <w:tcW w:w="1417" w:type="dxa"/>
            <w:shd w:val="clear" w:color="auto" w:fill="auto"/>
            <w:noWrap/>
            <w:vAlign w:val="center"/>
          </w:tcPr>
          <w:p w14:paraId="769AE13C" w14:textId="77777777" w:rsidR="00BF3335" w:rsidRPr="0030401A" w:rsidRDefault="00BF3335" w:rsidP="00BF3335">
            <w:pPr>
              <w:pStyle w:val="Vade-Mecum0"/>
              <w:rPr>
                <w:sz w:val="20"/>
                <w:szCs w:val="20"/>
                <w:lang w:val="nl-NL"/>
              </w:rPr>
            </w:pPr>
          </w:p>
        </w:tc>
        <w:tc>
          <w:tcPr>
            <w:tcW w:w="851" w:type="dxa"/>
            <w:shd w:val="clear" w:color="auto" w:fill="auto"/>
            <w:noWrap/>
            <w:vAlign w:val="center"/>
          </w:tcPr>
          <w:p w14:paraId="2EBFA2CC"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08D54A73"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7995C530"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01BAB11C" w14:textId="77777777" w:rsidR="00BF3335" w:rsidRPr="0030401A" w:rsidRDefault="00BF3335" w:rsidP="00BF3335">
            <w:pPr>
              <w:pStyle w:val="Vade-Mecum0"/>
              <w:rPr>
                <w:sz w:val="20"/>
                <w:szCs w:val="20"/>
                <w:lang w:val="nl-NL"/>
              </w:rPr>
            </w:pPr>
          </w:p>
        </w:tc>
      </w:tr>
      <w:tr w:rsidR="00BF3335" w:rsidRPr="00BF3335" w14:paraId="2C57ECE1" w14:textId="77777777" w:rsidTr="00DA6338">
        <w:trPr>
          <w:trHeight w:val="255"/>
        </w:trPr>
        <w:tc>
          <w:tcPr>
            <w:tcW w:w="2452" w:type="dxa"/>
            <w:shd w:val="clear" w:color="auto" w:fill="auto"/>
          </w:tcPr>
          <w:p w14:paraId="332C8919" w14:textId="77777777" w:rsidR="00BF3335" w:rsidRPr="0030401A" w:rsidRDefault="00BF3335" w:rsidP="00DA6338">
            <w:pPr>
              <w:pStyle w:val="Vade-Mecum0"/>
              <w:spacing w:line="240" w:lineRule="auto"/>
              <w:rPr>
                <w:sz w:val="20"/>
                <w:szCs w:val="20"/>
                <w:lang w:val="nl-NL"/>
              </w:rPr>
            </w:pPr>
            <w:r w:rsidRPr="0030401A">
              <w:rPr>
                <w:sz w:val="20"/>
                <w:szCs w:val="20"/>
                <w:lang w:val="nl-NL"/>
              </w:rPr>
              <w:t>Bezoldiging evaluator … [</w:t>
            </w:r>
            <w:r w:rsidRPr="0030401A">
              <w:rPr>
                <w:i/>
                <w:sz w:val="20"/>
                <w:szCs w:val="20"/>
                <w:lang w:val="nl-NL"/>
              </w:rPr>
              <w:t>naam evaluator</w:t>
            </w:r>
            <w:r w:rsidRPr="0030401A">
              <w:rPr>
                <w:sz w:val="20"/>
                <w:szCs w:val="20"/>
                <w:lang w:val="nl-NL"/>
              </w:rPr>
              <w:t>]</w:t>
            </w:r>
          </w:p>
        </w:tc>
        <w:tc>
          <w:tcPr>
            <w:tcW w:w="1134" w:type="dxa"/>
            <w:shd w:val="clear" w:color="auto" w:fill="auto"/>
            <w:noWrap/>
            <w:vAlign w:val="center"/>
          </w:tcPr>
          <w:p w14:paraId="4E945A53" w14:textId="77777777" w:rsidR="00BF3335" w:rsidRPr="0030401A" w:rsidRDefault="00BF3335" w:rsidP="00BF3335">
            <w:pPr>
              <w:pStyle w:val="Vade-Mecum0"/>
              <w:rPr>
                <w:sz w:val="20"/>
                <w:szCs w:val="20"/>
                <w:lang w:val="nl-NL"/>
              </w:rPr>
            </w:pPr>
            <w:r w:rsidRPr="0030401A">
              <w:rPr>
                <w:sz w:val="20"/>
                <w:szCs w:val="20"/>
                <w:lang w:val="nl-NL"/>
              </w:rPr>
              <w:t>dagen</w:t>
            </w:r>
          </w:p>
        </w:tc>
        <w:tc>
          <w:tcPr>
            <w:tcW w:w="1417" w:type="dxa"/>
            <w:shd w:val="clear" w:color="auto" w:fill="auto"/>
            <w:noWrap/>
            <w:vAlign w:val="center"/>
          </w:tcPr>
          <w:p w14:paraId="2C59FE9E" w14:textId="77777777" w:rsidR="00BF3335" w:rsidRPr="0030401A" w:rsidRDefault="00BF3335" w:rsidP="00BF3335">
            <w:pPr>
              <w:pStyle w:val="Vade-Mecum0"/>
              <w:rPr>
                <w:sz w:val="20"/>
                <w:szCs w:val="20"/>
                <w:lang w:val="nl-NL"/>
              </w:rPr>
            </w:pPr>
          </w:p>
        </w:tc>
        <w:tc>
          <w:tcPr>
            <w:tcW w:w="851" w:type="dxa"/>
            <w:shd w:val="clear" w:color="auto" w:fill="auto"/>
            <w:noWrap/>
            <w:vAlign w:val="center"/>
          </w:tcPr>
          <w:p w14:paraId="1389AC6C"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23A8677B"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0E968EA9"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40EBACFB" w14:textId="77777777" w:rsidR="00BF3335" w:rsidRPr="0030401A" w:rsidRDefault="00BF3335" w:rsidP="00BF3335">
            <w:pPr>
              <w:pStyle w:val="Vade-Mecum0"/>
              <w:rPr>
                <w:sz w:val="20"/>
                <w:szCs w:val="20"/>
                <w:lang w:val="nl-NL"/>
              </w:rPr>
            </w:pPr>
          </w:p>
        </w:tc>
      </w:tr>
      <w:tr w:rsidR="00BF3335" w:rsidRPr="002B7D1F" w14:paraId="73085FFA" w14:textId="77777777" w:rsidTr="00DA6338">
        <w:trPr>
          <w:trHeight w:val="255"/>
        </w:trPr>
        <w:tc>
          <w:tcPr>
            <w:tcW w:w="2452" w:type="dxa"/>
            <w:shd w:val="clear" w:color="auto" w:fill="auto"/>
          </w:tcPr>
          <w:p w14:paraId="44274975" w14:textId="77777777" w:rsidR="00BF3335" w:rsidRPr="0030401A" w:rsidRDefault="00BF3335" w:rsidP="00DA6338">
            <w:pPr>
              <w:pStyle w:val="Vade-Mecum0"/>
              <w:spacing w:line="240" w:lineRule="auto"/>
              <w:rPr>
                <w:sz w:val="20"/>
                <w:szCs w:val="20"/>
                <w:lang w:val="nl-NL"/>
              </w:rPr>
            </w:pPr>
            <w:r w:rsidRPr="0030401A">
              <w:rPr>
                <w:sz w:val="20"/>
                <w:szCs w:val="20"/>
                <w:lang w:val="nl-NL"/>
              </w:rPr>
              <w:t>[</w:t>
            </w:r>
            <w:r w:rsidRPr="0030401A">
              <w:rPr>
                <w:i/>
                <w:sz w:val="20"/>
                <w:szCs w:val="20"/>
                <w:lang w:val="nl-NL"/>
              </w:rPr>
              <w:t>Rijen toevoegen afhankelijk van het aantal evaluatoren</w:t>
            </w:r>
            <w:r w:rsidRPr="0030401A">
              <w:rPr>
                <w:sz w:val="20"/>
                <w:szCs w:val="20"/>
                <w:lang w:val="nl-NL"/>
              </w:rPr>
              <w:t>]</w:t>
            </w:r>
          </w:p>
        </w:tc>
        <w:tc>
          <w:tcPr>
            <w:tcW w:w="1134" w:type="dxa"/>
            <w:shd w:val="clear" w:color="auto" w:fill="auto"/>
            <w:noWrap/>
            <w:vAlign w:val="center"/>
          </w:tcPr>
          <w:p w14:paraId="3239DF8D" w14:textId="77777777" w:rsidR="00BF3335" w:rsidRPr="0030401A" w:rsidRDefault="00BF3335" w:rsidP="00BF3335">
            <w:pPr>
              <w:pStyle w:val="Vade-Mecum0"/>
              <w:rPr>
                <w:sz w:val="20"/>
                <w:szCs w:val="20"/>
                <w:lang w:val="nl-NL"/>
              </w:rPr>
            </w:pPr>
          </w:p>
        </w:tc>
        <w:tc>
          <w:tcPr>
            <w:tcW w:w="1417" w:type="dxa"/>
            <w:shd w:val="clear" w:color="auto" w:fill="auto"/>
            <w:noWrap/>
            <w:vAlign w:val="center"/>
          </w:tcPr>
          <w:p w14:paraId="7141FA16" w14:textId="77777777" w:rsidR="00BF3335" w:rsidRPr="0030401A" w:rsidRDefault="00BF3335" w:rsidP="00BF3335">
            <w:pPr>
              <w:pStyle w:val="Vade-Mecum0"/>
              <w:rPr>
                <w:sz w:val="20"/>
                <w:szCs w:val="20"/>
                <w:lang w:val="nl-NL"/>
              </w:rPr>
            </w:pPr>
          </w:p>
        </w:tc>
        <w:tc>
          <w:tcPr>
            <w:tcW w:w="851" w:type="dxa"/>
            <w:shd w:val="clear" w:color="auto" w:fill="auto"/>
            <w:noWrap/>
            <w:vAlign w:val="center"/>
          </w:tcPr>
          <w:p w14:paraId="0B242458"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0492EB4F"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1359F70A"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7D66FD17" w14:textId="77777777" w:rsidR="00BF3335" w:rsidRPr="0030401A" w:rsidRDefault="00BF3335" w:rsidP="00BF3335">
            <w:pPr>
              <w:pStyle w:val="Vade-Mecum0"/>
              <w:rPr>
                <w:sz w:val="20"/>
                <w:szCs w:val="20"/>
                <w:lang w:val="nl-NL"/>
              </w:rPr>
            </w:pPr>
          </w:p>
        </w:tc>
      </w:tr>
      <w:tr w:rsidR="00BF3335" w:rsidRPr="00BF3335" w14:paraId="27E1116F" w14:textId="77777777" w:rsidTr="00DA6338">
        <w:trPr>
          <w:trHeight w:val="255"/>
        </w:trPr>
        <w:tc>
          <w:tcPr>
            <w:tcW w:w="2452" w:type="dxa"/>
            <w:shd w:val="clear" w:color="auto" w:fill="auto"/>
          </w:tcPr>
          <w:p w14:paraId="2356E725" w14:textId="77777777" w:rsidR="00BF3335" w:rsidRPr="0030401A" w:rsidRDefault="00BF3335" w:rsidP="00DA6338">
            <w:pPr>
              <w:pStyle w:val="Vade-Mecum0"/>
              <w:spacing w:line="240" w:lineRule="auto"/>
              <w:rPr>
                <w:sz w:val="20"/>
                <w:szCs w:val="20"/>
                <w:lang w:val="nl-NL"/>
              </w:rPr>
            </w:pPr>
            <w:r w:rsidRPr="0030401A">
              <w:rPr>
                <w:sz w:val="20"/>
                <w:szCs w:val="20"/>
                <w:lang w:val="nl-NL"/>
              </w:rPr>
              <w:t xml:space="preserve">Vervoer evaluator &lt;&gt; Brussel </w:t>
            </w:r>
          </w:p>
        </w:tc>
        <w:tc>
          <w:tcPr>
            <w:tcW w:w="1134" w:type="dxa"/>
            <w:shd w:val="clear" w:color="auto" w:fill="auto"/>
            <w:noWrap/>
            <w:vAlign w:val="center"/>
          </w:tcPr>
          <w:p w14:paraId="57EE2A84" w14:textId="77777777" w:rsidR="00BF3335" w:rsidRPr="0030401A" w:rsidRDefault="00BF3335" w:rsidP="00BF3335">
            <w:pPr>
              <w:pStyle w:val="Vade-Mecum0"/>
              <w:rPr>
                <w:sz w:val="20"/>
                <w:szCs w:val="20"/>
                <w:lang w:val="nl-NL"/>
              </w:rPr>
            </w:pPr>
            <w:r w:rsidRPr="0030401A">
              <w:rPr>
                <w:sz w:val="20"/>
                <w:szCs w:val="20"/>
                <w:lang w:val="nl-NL"/>
              </w:rPr>
              <w:t>H/T</w:t>
            </w:r>
          </w:p>
        </w:tc>
        <w:tc>
          <w:tcPr>
            <w:tcW w:w="1417" w:type="dxa"/>
            <w:tcBorders>
              <w:bottom w:val="single" w:sz="4" w:space="0" w:color="auto"/>
            </w:tcBorders>
            <w:shd w:val="clear" w:color="auto" w:fill="auto"/>
            <w:noWrap/>
            <w:vAlign w:val="center"/>
          </w:tcPr>
          <w:p w14:paraId="66E1ED02"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044E4484" w14:textId="77777777" w:rsidR="00BF3335" w:rsidRPr="0030401A" w:rsidRDefault="00BF3335" w:rsidP="00BF3335">
            <w:pPr>
              <w:pStyle w:val="Vade-Mecum0"/>
              <w:rPr>
                <w:sz w:val="20"/>
                <w:szCs w:val="20"/>
                <w:lang w:val="nl-NL"/>
              </w:rPr>
            </w:pPr>
          </w:p>
        </w:tc>
        <w:tc>
          <w:tcPr>
            <w:tcW w:w="963" w:type="dxa"/>
            <w:tcBorders>
              <w:bottom w:val="single" w:sz="4" w:space="0" w:color="auto"/>
            </w:tcBorders>
            <w:shd w:val="clear" w:color="auto" w:fill="auto"/>
            <w:noWrap/>
            <w:vAlign w:val="center"/>
          </w:tcPr>
          <w:p w14:paraId="49A726D0" w14:textId="77777777" w:rsidR="00BF3335" w:rsidRPr="0030401A"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2C88CF82"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178D6ED1" w14:textId="77777777" w:rsidR="00BF3335" w:rsidRPr="0030401A" w:rsidRDefault="00BF3335" w:rsidP="00BF3335">
            <w:pPr>
              <w:pStyle w:val="Vade-Mecum0"/>
              <w:rPr>
                <w:sz w:val="20"/>
                <w:szCs w:val="20"/>
                <w:lang w:val="nl-NL"/>
              </w:rPr>
            </w:pPr>
          </w:p>
        </w:tc>
      </w:tr>
      <w:tr w:rsidR="00BF3335" w:rsidRPr="00BF3335" w14:paraId="29C8379D" w14:textId="77777777" w:rsidTr="00DA6338">
        <w:trPr>
          <w:trHeight w:val="255"/>
        </w:trPr>
        <w:tc>
          <w:tcPr>
            <w:tcW w:w="2452" w:type="dxa"/>
            <w:shd w:val="clear" w:color="auto" w:fill="auto"/>
          </w:tcPr>
          <w:p w14:paraId="00668A12" w14:textId="77777777" w:rsidR="00BF3335" w:rsidRPr="0030401A" w:rsidRDefault="00BF3335" w:rsidP="00DA6338">
            <w:pPr>
              <w:pStyle w:val="Vade-Mecum0"/>
              <w:spacing w:line="240" w:lineRule="auto"/>
              <w:rPr>
                <w:sz w:val="20"/>
                <w:szCs w:val="20"/>
                <w:lang w:val="nl-NL"/>
              </w:rPr>
            </w:pPr>
            <w:r w:rsidRPr="0030401A">
              <w:rPr>
                <w:sz w:val="20"/>
                <w:szCs w:val="20"/>
                <w:lang w:val="nl-NL"/>
              </w:rPr>
              <w:t xml:space="preserve">Internationale verplaatsingen </w:t>
            </w:r>
          </w:p>
        </w:tc>
        <w:tc>
          <w:tcPr>
            <w:tcW w:w="1134" w:type="dxa"/>
            <w:shd w:val="clear" w:color="auto" w:fill="auto"/>
            <w:noWrap/>
            <w:vAlign w:val="center"/>
          </w:tcPr>
          <w:p w14:paraId="78CB9799" w14:textId="77777777" w:rsidR="00BF3335" w:rsidRPr="0030401A" w:rsidRDefault="00BF3335" w:rsidP="00BF3335">
            <w:pPr>
              <w:pStyle w:val="Vade-Mecum0"/>
              <w:rPr>
                <w:sz w:val="20"/>
                <w:szCs w:val="20"/>
                <w:lang w:val="nl-NL"/>
              </w:rPr>
            </w:pPr>
            <w:r w:rsidRPr="0030401A">
              <w:rPr>
                <w:sz w:val="20"/>
                <w:szCs w:val="20"/>
                <w:lang w:val="nl-NL"/>
              </w:rPr>
              <w:t>H/T</w:t>
            </w:r>
          </w:p>
        </w:tc>
        <w:tc>
          <w:tcPr>
            <w:tcW w:w="1417" w:type="dxa"/>
            <w:tcBorders>
              <w:bottom w:val="single" w:sz="4" w:space="0" w:color="auto"/>
            </w:tcBorders>
            <w:shd w:val="clear" w:color="auto" w:fill="auto"/>
            <w:noWrap/>
            <w:vAlign w:val="center"/>
          </w:tcPr>
          <w:p w14:paraId="3583B83A"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193F63A9" w14:textId="77777777" w:rsidR="00BF3335" w:rsidRPr="0030401A" w:rsidRDefault="00BF3335" w:rsidP="00BF3335">
            <w:pPr>
              <w:pStyle w:val="Vade-Mecum0"/>
              <w:rPr>
                <w:sz w:val="20"/>
                <w:szCs w:val="20"/>
                <w:lang w:val="nl-NL"/>
              </w:rPr>
            </w:pPr>
          </w:p>
        </w:tc>
        <w:tc>
          <w:tcPr>
            <w:tcW w:w="963" w:type="dxa"/>
            <w:tcBorders>
              <w:bottom w:val="single" w:sz="4" w:space="0" w:color="auto"/>
            </w:tcBorders>
            <w:shd w:val="clear" w:color="auto" w:fill="auto"/>
            <w:noWrap/>
            <w:vAlign w:val="center"/>
          </w:tcPr>
          <w:p w14:paraId="2FDF1506" w14:textId="77777777" w:rsidR="00BF3335" w:rsidRPr="0030401A"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1C365DB9"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6CB6542D" w14:textId="77777777" w:rsidR="00BF3335" w:rsidRPr="0030401A" w:rsidRDefault="00BF3335" w:rsidP="00BF3335">
            <w:pPr>
              <w:pStyle w:val="Vade-Mecum0"/>
              <w:rPr>
                <w:sz w:val="20"/>
                <w:szCs w:val="20"/>
                <w:lang w:val="nl-NL"/>
              </w:rPr>
            </w:pPr>
          </w:p>
        </w:tc>
      </w:tr>
      <w:tr w:rsidR="00BF3335" w:rsidRPr="00BF3335" w14:paraId="1706F57D" w14:textId="77777777" w:rsidTr="00DA6338">
        <w:trPr>
          <w:trHeight w:val="255"/>
        </w:trPr>
        <w:tc>
          <w:tcPr>
            <w:tcW w:w="2452" w:type="dxa"/>
            <w:shd w:val="clear" w:color="auto" w:fill="auto"/>
          </w:tcPr>
          <w:p w14:paraId="010A3FDB" w14:textId="77777777" w:rsidR="00BF3335" w:rsidRPr="0030401A" w:rsidRDefault="00BF3335" w:rsidP="00DA6338">
            <w:pPr>
              <w:pStyle w:val="Vade-Mecum0"/>
              <w:spacing w:line="240" w:lineRule="auto"/>
              <w:rPr>
                <w:sz w:val="20"/>
                <w:szCs w:val="20"/>
                <w:lang w:val="nl-NL"/>
              </w:rPr>
            </w:pPr>
            <w:r w:rsidRPr="0030401A">
              <w:rPr>
                <w:sz w:val="20"/>
                <w:szCs w:val="20"/>
                <w:lang w:val="nl-NL"/>
              </w:rPr>
              <w:t>Per diem terreinzendingen</w:t>
            </w:r>
          </w:p>
        </w:tc>
        <w:tc>
          <w:tcPr>
            <w:tcW w:w="1134" w:type="dxa"/>
            <w:shd w:val="clear" w:color="auto" w:fill="auto"/>
            <w:noWrap/>
            <w:vAlign w:val="center"/>
          </w:tcPr>
          <w:p w14:paraId="0140626B" w14:textId="77777777" w:rsidR="00BF3335" w:rsidRPr="0030401A" w:rsidRDefault="00BF3335" w:rsidP="00BF3335">
            <w:pPr>
              <w:pStyle w:val="Vade-Mecum0"/>
              <w:rPr>
                <w:sz w:val="20"/>
                <w:szCs w:val="20"/>
                <w:lang w:val="nl-NL"/>
              </w:rPr>
            </w:pPr>
            <w:r w:rsidRPr="0030401A">
              <w:rPr>
                <w:sz w:val="20"/>
                <w:szCs w:val="20"/>
                <w:lang w:val="nl-NL"/>
              </w:rPr>
              <w:t>dagen</w:t>
            </w:r>
          </w:p>
        </w:tc>
        <w:tc>
          <w:tcPr>
            <w:tcW w:w="1417" w:type="dxa"/>
            <w:tcBorders>
              <w:bottom w:val="single" w:sz="4" w:space="0" w:color="auto"/>
            </w:tcBorders>
            <w:shd w:val="clear" w:color="auto" w:fill="auto"/>
            <w:noWrap/>
            <w:vAlign w:val="center"/>
          </w:tcPr>
          <w:p w14:paraId="1E0C5CA5"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5B4AE6A3" w14:textId="77777777" w:rsidR="00BF3335" w:rsidRPr="0030401A" w:rsidRDefault="00BF3335" w:rsidP="00BF3335">
            <w:pPr>
              <w:pStyle w:val="Vade-Mecum0"/>
              <w:rPr>
                <w:sz w:val="20"/>
                <w:szCs w:val="20"/>
                <w:lang w:val="nl-NL"/>
              </w:rPr>
            </w:pPr>
          </w:p>
        </w:tc>
        <w:tc>
          <w:tcPr>
            <w:tcW w:w="963" w:type="dxa"/>
            <w:tcBorders>
              <w:bottom w:val="single" w:sz="4" w:space="0" w:color="auto"/>
            </w:tcBorders>
            <w:shd w:val="clear" w:color="auto" w:fill="auto"/>
            <w:noWrap/>
            <w:vAlign w:val="center"/>
          </w:tcPr>
          <w:p w14:paraId="637EF1B6" w14:textId="77777777" w:rsidR="00BF3335" w:rsidRPr="0030401A"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180BCA42"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175AF21D" w14:textId="77777777" w:rsidR="00BF3335" w:rsidRPr="0030401A" w:rsidRDefault="00BF3335" w:rsidP="00BF3335">
            <w:pPr>
              <w:pStyle w:val="Vade-Mecum0"/>
              <w:rPr>
                <w:sz w:val="20"/>
                <w:szCs w:val="20"/>
                <w:lang w:val="nl-NL"/>
              </w:rPr>
            </w:pPr>
          </w:p>
        </w:tc>
      </w:tr>
      <w:tr w:rsidR="00BF3335" w:rsidRPr="00BF3335" w14:paraId="7BEE6EEE" w14:textId="77777777" w:rsidTr="00DA6338">
        <w:trPr>
          <w:trHeight w:val="255"/>
        </w:trPr>
        <w:tc>
          <w:tcPr>
            <w:tcW w:w="2452" w:type="dxa"/>
            <w:shd w:val="clear" w:color="auto" w:fill="auto"/>
          </w:tcPr>
          <w:p w14:paraId="010483AC" w14:textId="77777777" w:rsidR="00BF3335" w:rsidRPr="0030401A" w:rsidRDefault="00BF3335" w:rsidP="00DA6338">
            <w:pPr>
              <w:pStyle w:val="Vade-Mecum0"/>
              <w:spacing w:line="240" w:lineRule="auto"/>
              <w:rPr>
                <w:sz w:val="20"/>
                <w:szCs w:val="20"/>
                <w:lang w:val="nl-NL"/>
              </w:rPr>
            </w:pPr>
            <w:r w:rsidRPr="0030401A">
              <w:rPr>
                <w:sz w:val="20"/>
                <w:szCs w:val="20"/>
                <w:lang w:val="nl-NL"/>
              </w:rPr>
              <w:t>Logement terreinzendingen</w:t>
            </w:r>
          </w:p>
        </w:tc>
        <w:tc>
          <w:tcPr>
            <w:tcW w:w="1134" w:type="dxa"/>
            <w:shd w:val="clear" w:color="auto" w:fill="auto"/>
            <w:noWrap/>
            <w:vAlign w:val="center"/>
          </w:tcPr>
          <w:p w14:paraId="253C06FF" w14:textId="77777777" w:rsidR="00BF3335" w:rsidRPr="0030401A" w:rsidRDefault="00BF3335" w:rsidP="00BF3335">
            <w:pPr>
              <w:pStyle w:val="Vade-Mecum0"/>
              <w:rPr>
                <w:sz w:val="20"/>
                <w:szCs w:val="20"/>
                <w:lang w:val="nl-NL"/>
              </w:rPr>
            </w:pPr>
            <w:r w:rsidRPr="0030401A">
              <w:rPr>
                <w:sz w:val="20"/>
                <w:szCs w:val="20"/>
                <w:lang w:val="nl-NL"/>
              </w:rPr>
              <w:t>nachten</w:t>
            </w:r>
          </w:p>
        </w:tc>
        <w:tc>
          <w:tcPr>
            <w:tcW w:w="1417" w:type="dxa"/>
            <w:tcBorders>
              <w:bottom w:val="single" w:sz="4" w:space="0" w:color="auto"/>
            </w:tcBorders>
            <w:shd w:val="clear" w:color="auto" w:fill="auto"/>
            <w:noWrap/>
            <w:vAlign w:val="center"/>
          </w:tcPr>
          <w:p w14:paraId="0AE5303E"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15788412" w14:textId="77777777" w:rsidR="00BF3335" w:rsidRPr="0030401A" w:rsidRDefault="00BF3335" w:rsidP="00BF3335">
            <w:pPr>
              <w:pStyle w:val="Vade-Mecum0"/>
              <w:rPr>
                <w:sz w:val="20"/>
                <w:szCs w:val="20"/>
                <w:lang w:val="nl-NL"/>
              </w:rPr>
            </w:pPr>
          </w:p>
        </w:tc>
        <w:tc>
          <w:tcPr>
            <w:tcW w:w="963" w:type="dxa"/>
            <w:tcBorders>
              <w:bottom w:val="single" w:sz="4" w:space="0" w:color="auto"/>
            </w:tcBorders>
            <w:shd w:val="clear" w:color="auto" w:fill="auto"/>
            <w:noWrap/>
            <w:vAlign w:val="center"/>
          </w:tcPr>
          <w:p w14:paraId="4B6F5196" w14:textId="77777777" w:rsidR="00BF3335" w:rsidRPr="0030401A"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0899BBAE"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0CC1A548" w14:textId="77777777" w:rsidR="00BF3335" w:rsidRPr="0030401A" w:rsidRDefault="00BF3335" w:rsidP="00BF3335">
            <w:pPr>
              <w:pStyle w:val="Vade-Mecum0"/>
              <w:rPr>
                <w:sz w:val="20"/>
                <w:szCs w:val="20"/>
                <w:lang w:val="nl-NL"/>
              </w:rPr>
            </w:pPr>
          </w:p>
        </w:tc>
      </w:tr>
      <w:tr w:rsidR="00BF3335" w:rsidRPr="00BF3335" w14:paraId="78461FCE" w14:textId="77777777" w:rsidTr="00DA6338">
        <w:trPr>
          <w:trHeight w:val="255"/>
        </w:trPr>
        <w:tc>
          <w:tcPr>
            <w:tcW w:w="2452" w:type="dxa"/>
            <w:shd w:val="clear" w:color="auto" w:fill="auto"/>
          </w:tcPr>
          <w:p w14:paraId="05228E03" w14:textId="77777777" w:rsidR="00BF3335" w:rsidRPr="0030401A" w:rsidRDefault="00BF3335" w:rsidP="00DA6338">
            <w:pPr>
              <w:pStyle w:val="Vade-Mecum0"/>
              <w:spacing w:line="240" w:lineRule="auto"/>
              <w:rPr>
                <w:sz w:val="20"/>
                <w:szCs w:val="20"/>
                <w:lang w:val="nl-NL"/>
              </w:rPr>
            </w:pPr>
            <w:r w:rsidRPr="0030401A">
              <w:rPr>
                <w:sz w:val="20"/>
                <w:szCs w:val="20"/>
                <w:lang w:val="nl-NL"/>
              </w:rPr>
              <w:t>Lokaal openbaar vervoer (vliegtuig, trein)</w:t>
            </w:r>
          </w:p>
        </w:tc>
        <w:tc>
          <w:tcPr>
            <w:tcW w:w="1134" w:type="dxa"/>
            <w:shd w:val="clear" w:color="auto" w:fill="auto"/>
            <w:noWrap/>
            <w:vAlign w:val="center"/>
          </w:tcPr>
          <w:p w14:paraId="19AEABC9" w14:textId="77777777" w:rsidR="00BF3335" w:rsidRPr="0030401A" w:rsidRDefault="00BF3335" w:rsidP="00BF3335">
            <w:pPr>
              <w:pStyle w:val="Vade-Mecum0"/>
              <w:rPr>
                <w:sz w:val="20"/>
                <w:szCs w:val="20"/>
                <w:lang w:val="nl-NL"/>
              </w:rPr>
            </w:pPr>
            <w:r w:rsidRPr="0030401A">
              <w:rPr>
                <w:sz w:val="20"/>
                <w:szCs w:val="20"/>
                <w:lang w:val="nl-NL"/>
              </w:rPr>
              <w:t>H/T</w:t>
            </w:r>
          </w:p>
        </w:tc>
        <w:tc>
          <w:tcPr>
            <w:tcW w:w="1417" w:type="dxa"/>
            <w:tcBorders>
              <w:bottom w:val="single" w:sz="4" w:space="0" w:color="auto"/>
            </w:tcBorders>
            <w:shd w:val="clear" w:color="auto" w:fill="auto"/>
            <w:noWrap/>
            <w:vAlign w:val="center"/>
          </w:tcPr>
          <w:p w14:paraId="5D00F551"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08D00037" w14:textId="77777777" w:rsidR="00BF3335" w:rsidRPr="0030401A" w:rsidRDefault="00BF3335" w:rsidP="00BF3335">
            <w:pPr>
              <w:pStyle w:val="Vade-Mecum0"/>
              <w:rPr>
                <w:sz w:val="20"/>
                <w:szCs w:val="20"/>
                <w:lang w:val="nl-NL"/>
              </w:rPr>
            </w:pPr>
          </w:p>
        </w:tc>
        <w:tc>
          <w:tcPr>
            <w:tcW w:w="963" w:type="dxa"/>
            <w:tcBorders>
              <w:bottom w:val="single" w:sz="4" w:space="0" w:color="auto"/>
            </w:tcBorders>
            <w:shd w:val="clear" w:color="auto" w:fill="auto"/>
            <w:noWrap/>
            <w:vAlign w:val="center"/>
          </w:tcPr>
          <w:p w14:paraId="2EA50504" w14:textId="77777777" w:rsidR="00BF3335" w:rsidRPr="0030401A"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0BBE256D"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18AE7834" w14:textId="77777777" w:rsidR="00BF3335" w:rsidRPr="0030401A" w:rsidRDefault="00BF3335" w:rsidP="00BF3335">
            <w:pPr>
              <w:pStyle w:val="Vade-Mecum0"/>
              <w:rPr>
                <w:sz w:val="20"/>
                <w:szCs w:val="20"/>
                <w:lang w:val="nl-NL"/>
              </w:rPr>
            </w:pPr>
          </w:p>
        </w:tc>
      </w:tr>
      <w:tr w:rsidR="00BF3335" w:rsidRPr="00BF3335" w14:paraId="5B654037" w14:textId="77777777" w:rsidTr="00DA6338">
        <w:trPr>
          <w:trHeight w:val="255"/>
        </w:trPr>
        <w:tc>
          <w:tcPr>
            <w:tcW w:w="2452" w:type="dxa"/>
            <w:shd w:val="clear" w:color="auto" w:fill="auto"/>
          </w:tcPr>
          <w:p w14:paraId="353F1587" w14:textId="77777777" w:rsidR="00BF3335" w:rsidRPr="0030401A" w:rsidRDefault="00BF3335" w:rsidP="00DA6338">
            <w:pPr>
              <w:pStyle w:val="Vade-Mecum0"/>
              <w:spacing w:line="240" w:lineRule="auto"/>
              <w:rPr>
                <w:sz w:val="20"/>
                <w:szCs w:val="20"/>
                <w:lang w:val="nl-NL"/>
              </w:rPr>
            </w:pPr>
            <w:r w:rsidRPr="0030401A">
              <w:rPr>
                <w:sz w:val="20"/>
                <w:szCs w:val="20"/>
                <w:lang w:val="nl-NL"/>
              </w:rPr>
              <w:t>Huur voertuig/chauffeur/brandstof/verzekering</w:t>
            </w:r>
          </w:p>
        </w:tc>
        <w:tc>
          <w:tcPr>
            <w:tcW w:w="1134" w:type="dxa"/>
            <w:shd w:val="clear" w:color="auto" w:fill="auto"/>
            <w:noWrap/>
            <w:vAlign w:val="center"/>
          </w:tcPr>
          <w:p w14:paraId="5029A0E7" w14:textId="77777777" w:rsidR="00BF3335" w:rsidRPr="0030401A" w:rsidRDefault="00BF3335" w:rsidP="00BF3335">
            <w:pPr>
              <w:pStyle w:val="Vade-Mecum0"/>
              <w:rPr>
                <w:sz w:val="20"/>
                <w:szCs w:val="20"/>
                <w:lang w:val="nl-NL"/>
              </w:rPr>
            </w:pPr>
            <w:r w:rsidRPr="0030401A">
              <w:rPr>
                <w:sz w:val="20"/>
                <w:szCs w:val="20"/>
                <w:lang w:val="nl-NL"/>
              </w:rPr>
              <w:t>dagen</w:t>
            </w:r>
          </w:p>
        </w:tc>
        <w:tc>
          <w:tcPr>
            <w:tcW w:w="1417" w:type="dxa"/>
            <w:tcBorders>
              <w:bottom w:val="single" w:sz="4" w:space="0" w:color="auto"/>
            </w:tcBorders>
            <w:shd w:val="clear" w:color="auto" w:fill="auto"/>
            <w:noWrap/>
            <w:vAlign w:val="center"/>
          </w:tcPr>
          <w:p w14:paraId="680E94FC"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127663F0" w14:textId="77777777" w:rsidR="00BF3335" w:rsidRPr="0030401A" w:rsidRDefault="00BF3335" w:rsidP="00BF3335">
            <w:pPr>
              <w:pStyle w:val="Vade-Mecum0"/>
              <w:rPr>
                <w:sz w:val="20"/>
                <w:szCs w:val="20"/>
                <w:lang w:val="nl-NL"/>
              </w:rPr>
            </w:pPr>
          </w:p>
        </w:tc>
        <w:tc>
          <w:tcPr>
            <w:tcW w:w="963" w:type="dxa"/>
            <w:tcBorders>
              <w:bottom w:val="single" w:sz="4" w:space="0" w:color="auto"/>
            </w:tcBorders>
            <w:shd w:val="clear" w:color="auto" w:fill="auto"/>
            <w:noWrap/>
            <w:vAlign w:val="center"/>
          </w:tcPr>
          <w:p w14:paraId="62E4A03D" w14:textId="77777777" w:rsidR="00BF3335" w:rsidRPr="0030401A"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77E42AE2"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074E216E" w14:textId="77777777" w:rsidR="00BF3335" w:rsidRPr="0030401A" w:rsidRDefault="00BF3335" w:rsidP="00BF3335">
            <w:pPr>
              <w:pStyle w:val="Vade-Mecum0"/>
              <w:rPr>
                <w:sz w:val="20"/>
                <w:szCs w:val="20"/>
                <w:lang w:val="nl-NL"/>
              </w:rPr>
            </w:pPr>
          </w:p>
        </w:tc>
      </w:tr>
      <w:tr w:rsidR="00BF3335" w:rsidRPr="00BF3335" w14:paraId="6C3381B0" w14:textId="77777777" w:rsidTr="00DA6338">
        <w:trPr>
          <w:trHeight w:val="255"/>
        </w:trPr>
        <w:tc>
          <w:tcPr>
            <w:tcW w:w="2452" w:type="dxa"/>
            <w:shd w:val="clear" w:color="auto" w:fill="auto"/>
          </w:tcPr>
          <w:p w14:paraId="565D7437" w14:textId="77777777" w:rsidR="00BF3335" w:rsidRPr="0030401A" w:rsidRDefault="00BF3335" w:rsidP="00DA6338">
            <w:pPr>
              <w:pStyle w:val="Vade-Mecum0"/>
              <w:spacing w:line="240" w:lineRule="auto"/>
              <w:rPr>
                <w:sz w:val="20"/>
                <w:szCs w:val="20"/>
                <w:lang w:val="nl-NL"/>
              </w:rPr>
            </w:pPr>
            <w:r w:rsidRPr="0030401A">
              <w:rPr>
                <w:sz w:val="20"/>
                <w:szCs w:val="20"/>
                <w:lang w:val="nl-NL"/>
              </w:rPr>
              <w:t>Kosten ontmoetingen/interviews/terreinzendingen</w:t>
            </w:r>
          </w:p>
        </w:tc>
        <w:tc>
          <w:tcPr>
            <w:tcW w:w="1134" w:type="dxa"/>
            <w:shd w:val="clear" w:color="auto" w:fill="auto"/>
            <w:noWrap/>
            <w:vAlign w:val="center"/>
          </w:tcPr>
          <w:p w14:paraId="5A4053F2" w14:textId="77777777" w:rsidR="00BF3335" w:rsidRPr="0030401A" w:rsidRDefault="00BF3335" w:rsidP="00BF3335">
            <w:pPr>
              <w:pStyle w:val="Vade-Mecum0"/>
              <w:rPr>
                <w:sz w:val="20"/>
                <w:szCs w:val="20"/>
                <w:lang w:val="nl-NL"/>
              </w:rPr>
            </w:pPr>
            <w:r w:rsidRPr="0030401A">
              <w:rPr>
                <w:sz w:val="20"/>
                <w:szCs w:val="20"/>
                <w:lang w:val="nl-NL"/>
              </w:rPr>
              <w:t>forfait / eenheid</w:t>
            </w:r>
          </w:p>
        </w:tc>
        <w:tc>
          <w:tcPr>
            <w:tcW w:w="1417" w:type="dxa"/>
            <w:shd w:val="clear" w:color="auto" w:fill="auto"/>
            <w:noWrap/>
            <w:vAlign w:val="center"/>
          </w:tcPr>
          <w:p w14:paraId="70E14F51" w14:textId="77777777" w:rsidR="00BF3335" w:rsidRPr="0030401A" w:rsidRDefault="00BF3335" w:rsidP="00BF3335">
            <w:pPr>
              <w:pStyle w:val="Vade-Mecum0"/>
              <w:rPr>
                <w:sz w:val="20"/>
                <w:szCs w:val="20"/>
                <w:lang w:val="nl-NL"/>
              </w:rPr>
            </w:pPr>
          </w:p>
        </w:tc>
        <w:tc>
          <w:tcPr>
            <w:tcW w:w="851" w:type="dxa"/>
            <w:shd w:val="clear" w:color="auto" w:fill="auto"/>
            <w:noWrap/>
            <w:vAlign w:val="center"/>
          </w:tcPr>
          <w:p w14:paraId="0EACBF8E"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143D5812"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106867D5"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10642030" w14:textId="77777777" w:rsidR="00BF3335" w:rsidRPr="0030401A" w:rsidRDefault="00BF3335" w:rsidP="00BF3335">
            <w:pPr>
              <w:pStyle w:val="Vade-Mecum0"/>
              <w:rPr>
                <w:sz w:val="20"/>
                <w:szCs w:val="20"/>
                <w:lang w:val="nl-NL"/>
              </w:rPr>
            </w:pPr>
          </w:p>
        </w:tc>
      </w:tr>
      <w:tr w:rsidR="00BF3335" w:rsidRPr="00BF3335" w14:paraId="616DD261" w14:textId="77777777" w:rsidTr="00DA6338">
        <w:trPr>
          <w:trHeight w:val="255"/>
        </w:trPr>
        <w:tc>
          <w:tcPr>
            <w:tcW w:w="2452" w:type="dxa"/>
            <w:shd w:val="clear" w:color="auto" w:fill="auto"/>
          </w:tcPr>
          <w:p w14:paraId="0F033C3E" w14:textId="77777777" w:rsidR="00BF3335" w:rsidRPr="0030401A" w:rsidRDefault="00BF3335" w:rsidP="00DA6338">
            <w:pPr>
              <w:pStyle w:val="Vade-Mecum0"/>
              <w:spacing w:line="240" w:lineRule="auto"/>
              <w:rPr>
                <w:sz w:val="20"/>
                <w:szCs w:val="20"/>
                <w:lang w:val="nl-NL"/>
              </w:rPr>
            </w:pPr>
            <w:r w:rsidRPr="0030401A">
              <w:rPr>
                <w:sz w:val="20"/>
                <w:szCs w:val="20"/>
                <w:lang w:val="nl-NL"/>
              </w:rPr>
              <w:t>Kosten restitutievergaderingen (huur zaal/catering)</w:t>
            </w:r>
          </w:p>
        </w:tc>
        <w:tc>
          <w:tcPr>
            <w:tcW w:w="1134" w:type="dxa"/>
            <w:shd w:val="clear" w:color="auto" w:fill="auto"/>
            <w:noWrap/>
            <w:vAlign w:val="center"/>
          </w:tcPr>
          <w:p w14:paraId="0A2AE161" w14:textId="77777777" w:rsidR="00BF3335" w:rsidRPr="0030401A" w:rsidRDefault="00BF3335" w:rsidP="00BF3335">
            <w:pPr>
              <w:pStyle w:val="Vade-Mecum0"/>
              <w:rPr>
                <w:sz w:val="20"/>
                <w:szCs w:val="20"/>
                <w:lang w:val="nl-NL"/>
              </w:rPr>
            </w:pPr>
            <w:r w:rsidRPr="0030401A">
              <w:rPr>
                <w:sz w:val="20"/>
                <w:szCs w:val="20"/>
                <w:lang w:val="nl-NL"/>
              </w:rPr>
              <w:t>forfait / eenheid</w:t>
            </w:r>
          </w:p>
        </w:tc>
        <w:tc>
          <w:tcPr>
            <w:tcW w:w="1417" w:type="dxa"/>
            <w:shd w:val="clear" w:color="auto" w:fill="auto"/>
            <w:noWrap/>
            <w:vAlign w:val="center"/>
          </w:tcPr>
          <w:p w14:paraId="2A150B53" w14:textId="77777777" w:rsidR="00BF3335" w:rsidRPr="0030401A" w:rsidRDefault="00BF3335" w:rsidP="00BF3335">
            <w:pPr>
              <w:pStyle w:val="Vade-Mecum0"/>
              <w:rPr>
                <w:sz w:val="20"/>
                <w:szCs w:val="20"/>
                <w:lang w:val="nl-NL"/>
              </w:rPr>
            </w:pPr>
          </w:p>
        </w:tc>
        <w:tc>
          <w:tcPr>
            <w:tcW w:w="851" w:type="dxa"/>
            <w:shd w:val="clear" w:color="auto" w:fill="auto"/>
            <w:noWrap/>
            <w:vAlign w:val="center"/>
          </w:tcPr>
          <w:p w14:paraId="046034C4"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79D4ECDC"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788FB3D2"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3BF281E4" w14:textId="77777777" w:rsidR="00BF3335" w:rsidRPr="0030401A" w:rsidRDefault="00BF3335" w:rsidP="00BF3335">
            <w:pPr>
              <w:pStyle w:val="Vade-Mecum0"/>
              <w:rPr>
                <w:sz w:val="20"/>
                <w:szCs w:val="20"/>
                <w:lang w:val="nl-NL"/>
              </w:rPr>
            </w:pPr>
          </w:p>
        </w:tc>
      </w:tr>
      <w:tr w:rsidR="00BF3335" w:rsidRPr="00BF3335" w14:paraId="2D462A6A" w14:textId="77777777" w:rsidTr="00DA6338">
        <w:trPr>
          <w:trHeight w:val="255"/>
        </w:trPr>
        <w:tc>
          <w:tcPr>
            <w:tcW w:w="2452" w:type="dxa"/>
            <w:shd w:val="clear" w:color="auto" w:fill="auto"/>
          </w:tcPr>
          <w:p w14:paraId="4D2CC92D" w14:textId="77777777" w:rsidR="00BF3335" w:rsidRPr="0030401A" w:rsidRDefault="00BF3335" w:rsidP="00DA6338">
            <w:pPr>
              <w:pStyle w:val="Vade-Mecum0"/>
              <w:spacing w:line="240" w:lineRule="auto"/>
              <w:rPr>
                <w:sz w:val="20"/>
                <w:szCs w:val="20"/>
                <w:lang w:val="nl-NL"/>
              </w:rPr>
            </w:pPr>
            <w:r w:rsidRPr="0030401A">
              <w:rPr>
                <w:sz w:val="20"/>
                <w:szCs w:val="20"/>
                <w:lang w:val="nl-NL"/>
              </w:rPr>
              <w:t>Vertalingen</w:t>
            </w:r>
          </w:p>
        </w:tc>
        <w:tc>
          <w:tcPr>
            <w:tcW w:w="1134" w:type="dxa"/>
            <w:shd w:val="clear" w:color="auto" w:fill="auto"/>
            <w:noWrap/>
            <w:vAlign w:val="center"/>
          </w:tcPr>
          <w:p w14:paraId="4A2E9971" w14:textId="77777777" w:rsidR="00BF3335" w:rsidRPr="0030401A" w:rsidRDefault="00BF3335" w:rsidP="00BF3335">
            <w:pPr>
              <w:pStyle w:val="Vade-Mecum0"/>
              <w:rPr>
                <w:sz w:val="20"/>
                <w:szCs w:val="20"/>
                <w:lang w:val="nl-NL"/>
              </w:rPr>
            </w:pPr>
            <w:r w:rsidRPr="0030401A">
              <w:rPr>
                <w:sz w:val="20"/>
                <w:szCs w:val="20"/>
                <w:lang w:val="nl-NL"/>
              </w:rPr>
              <w:t>pagina’s</w:t>
            </w:r>
          </w:p>
        </w:tc>
        <w:tc>
          <w:tcPr>
            <w:tcW w:w="1417" w:type="dxa"/>
            <w:tcBorders>
              <w:bottom w:val="single" w:sz="4" w:space="0" w:color="auto"/>
            </w:tcBorders>
            <w:shd w:val="clear" w:color="auto" w:fill="auto"/>
            <w:noWrap/>
            <w:vAlign w:val="center"/>
          </w:tcPr>
          <w:p w14:paraId="78C15293" w14:textId="77777777" w:rsidR="00BF3335" w:rsidRPr="0030401A" w:rsidRDefault="00BF3335" w:rsidP="00BF3335">
            <w:pPr>
              <w:pStyle w:val="Vade-Mecum0"/>
              <w:rPr>
                <w:sz w:val="20"/>
                <w:szCs w:val="20"/>
                <w:lang w:val="nl-NL"/>
              </w:rPr>
            </w:pPr>
          </w:p>
        </w:tc>
        <w:tc>
          <w:tcPr>
            <w:tcW w:w="851" w:type="dxa"/>
            <w:tcBorders>
              <w:bottom w:val="single" w:sz="4" w:space="0" w:color="auto"/>
            </w:tcBorders>
            <w:shd w:val="clear" w:color="auto" w:fill="auto"/>
            <w:noWrap/>
            <w:vAlign w:val="center"/>
          </w:tcPr>
          <w:p w14:paraId="2B89B908"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5D8C2379"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6439C24E"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16E01303" w14:textId="77777777" w:rsidR="00BF3335" w:rsidRPr="0030401A" w:rsidRDefault="00BF3335" w:rsidP="00BF3335">
            <w:pPr>
              <w:pStyle w:val="Vade-Mecum0"/>
              <w:rPr>
                <w:sz w:val="20"/>
                <w:szCs w:val="20"/>
                <w:lang w:val="nl-NL"/>
              </w:rPr>
            </w:pPr>
          </w:p>
        </w:tc>
      </w:tr>
      <w:tr w:rsidR="00BF3335" w:rsidRPr="00BF3335" w14:paraId="7D76CE0E" w14:textId="77777777" w:rsidTr="0030401A">
        <w:trPr>
          <w:trHeight w:val="508"/>
        </w:trPr>
        <w:tc>
          <w:tcPr>
            <w:tcW w:w="2452" w:type="dxa"/>
            <w:shd w:val="clear" w:color="auto" w:fill="auto"/>
          </w:tcPr>
          <w:p w14:paraId="77D5F38E" w14:textId="77777777" w:rsidR="00BF3335" w:rsidRPr="0030401A" w:rsidRDefault="00BF3335" w:rsidP="00DA6338">
            <w:pPr>
              <w:pStyle w:val="Vade-Mecum0"/>
              <w:spacing w:line="240" w:lineRule="auto"/>
              <w:rPr>
                <w:sz w:val="20"/>
                <w:szCs w:val="20"/>
                <w:lang w:val="nl-NL"/>
              </w:rPr>
            </w:pPr>
            <w:r w:rsidRPr="0030401A">
              <w:rPr>
                <w:sz w:val="20"/>
                <w:szCs w:val="20"/>
                <w:lang w:val="nl-NL"/>
              </w:rPr>
              <w:t>Communicatie/drukwerk/kopieën</w:t>
            </w:r>
          </w:p>
        </w:tc>
        <w:tc>
          <w:tcPr>
            <w:tcW w:w="1134" w:type="dxa"/>
            <w:shd w:val="clear" w:color="auto" w:fill="auto"/>
            <w:noWrap/>
            <w:vAlign w:val="center"/>
          </w:tcPr>
          <w:p w14:paraId="65ED80A0" w14:textId="77777777" w:rsidR="00BF3335" w:rsidRPr="0030401A" w:rsidRDefault="00BF3335" w:rsidP="00BF3335">
            <w:pPr>
              <w:pStyle w:val="Vade-Mecum0"/>
              <w:rPr>
                <w:sz w:val="20"/>
                <w:szCs w:val="20"/>
                <w:lang w:val="nl-NL"/>
              </w:rPr>
            </w:pPr>
            <w:r w:rsidRPr="0030401A">
              <w:rPr>
                <w:sz w:val="20"/>
                <w:szCs w:val="20"/>
                <w:lang w:val="nl-NL"/>
              </w:rPr>
              <w:t>forfait</w:t>
            </w:r>
          </w:p>
        </w:tc>
        <w:tc>
          <w:tcPr>
            <w:tcW w:w="1417" w:type="dxa"/>
            <w:shd w:val="clear" w:color="auto" w:fill="C0C0C0"/>
            <w:noWrap/>
            <w:vAlign w:val="center"/>
          </w:tcPr>
          <w:p w14:paraId="636C65A5" w14:textId="77777777" w:rsidR="00BF3335" w:rsidRPr="0030401A" w:rsidRDefault="00BF3335" w:rsidP="00BF3335">
            <w:pPr>
              <w:pStyle w:val="Vade-Mecum0"/>
              <w:rPr>
                <w:sz w:val="20"/>
                <w:szCs w:val="20"/>
                <w:lang w:val="nl-NL"/>
              </w:rPr>
            </w:pPr>
          </w:p>
        </w:tc>
        <w:tc>
          <w:tcPr>
            <w:tcW w:w="851" w:type="dxa"/>
            <w:shd w:val="clear" w:color="auto" w:fill="C0C0C0"/>
            <w:noWrap/>
            <w:vAlign w:val="center"/>
          </w:tcPr>
          <w:p w14:paraId="50845DE1"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01127302"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3BD2C747"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2033C770" w14:textId="77777777" w:rsidR="00BF3335" w:rsidRPr="0030401A" w:rsidRDefault="00BF3335" w:rsidP="00BF3335">
            <w:pPr>
              <w:pStyle w:val="Vade-Mecum0"/>
              <w:rPr>
                <w:sz w:val="20"/>
                <w:szCs w:val="20"/>
                <w:lang w:val="nl-NL"/>
              </w:rPr>
            </w:pPr>
          </w:p>
        </w:tc>
      </w:tr>
      <w:tr w:rsidR="00BF3335" w:rsidRPr="002B7D1F" w14:paraId="1AA757C3" w14:textId="77777777" w:rsidTr="00DA6338">
        <w:trPr>
          <w:trHeight w:val="255"/>
        </w:trPr>
        <w:tc>
          <w:tcPr>
            <w:tcW w:w="2452" w:type="dxa"/>
            <w:shd w:val="clear" w:color="auto" w:fill="auto"/>
          </w:tcPr>
          <w:p w14:paraId="51CBDC08" w14:textId="77777777" w:rsidR="00BF3335" w:rsidRPr="0030401A" w:rsidRDefault="00BF3335" w:rsidP="00DA6338">
            <w:pPr>
              <w:pStyle w:val="Vade-Mecum0"/>
              <w:spacing w:line="240" w:lineRule="auto"/>
              <w:rPr>
                <w:sz w:val="20"/>
                <w:szCs w:val="20"/>
                <w:lang w:val="nl-NL"/>
              </w:rPr>
            </w:pPr>
            <w:r w:rsidRPr="0030401A">
              <w:rPr>
                <w:sz w:val="20"/>
                <w:szCs w:val="20"/>
                <w:lang w:val="nl-NL"/>
              </w:rPr>
              <w:t>[</w:t>
            </w:r>
            <w:r w:rsidRPr="0030401A">
              <w:rPr>
                <w:i/>
                <w:sz w:val="20"/>
                <w:szCs w:val="20"/>
                <w:lang w:val="nl-NL"/>
              </w:rPr>
              <w:t>Rijen toevoegen voor eventuele andere uitgaven</w:t>
            </w:r>
            <w:r w:rsidRPr="0030401A">
              <w:rPr>
                <w:sz w:val="20"/>
                <w:szCs w:val="20"/>
                <w:lang w:val="nl-NL"/>
              </w:rPr>
              <w:t>]</w:t>
            </w:r>
          </w:p>
        </w:tc>
        <w:tc>
          <w:tcPr>
            <w:tcW w:w="1134" w:type="dxa"/>
            <w:shd w:val="clear" w:color="auto" w:fill="auto"/>
            <w:noWrap/>
            <w:vAlign w:val="center"/>
          </w:tcPr>
          <w:p w14:paraId="14C4FCF2" w14:textId="77777777" w:rsidR="00BF3335" w:rsidRPr="0030401A" w:rsidRDefault="00BF3335" w:rsidP="00BF3335">
            <w:pPr>
              <w:pStyle w:val="Vade-Mecum0"/>
              <w:rPr>
                <w:sz w:val="20"/>
                <w:szCs w:val="20"/>
                <w:lang w:val="nl-NL"/>
              </w:rPr>
            </w:pPr>
          </w:p>
        </w:tc>
        <w:tc>
          <w:tcPr>
            <w:tcW w:w="1417" w:type="dxa"/>
            <w:shd w:val="clear" w:color="auto" w:fill="auto"/>
            <w:noWrap/>
            <w:vAlign w:val="center"/>
          </w:tcPr>
          <w:p w14:paraId="642881D0" w14:textId="77777777" w:rsidR="00BF3335" w:rsidRPr="0030401A" w:rsidRDefault="00BF3335" w:rsidP="00BF3335">
            <w:pPr>
              <w:pStyle w:val="Vade-Mecum0"/>
              <w:rPr>
                <w:sz w:val="20"/>
                <w:szCs w:val="20"/>
                <w:lang w:val="nl-NL"/>
              </w:rPr>
            </w:pPr>
          </w:p>
        </w:tc>
        <w:tc>
          <w:tcPr>
            <w:tcW w:w="851" w:type="dxa"/>
            <w:shd w:val="clear" w:color="auto" w:fill="auto"/>
            <w:noWrap/>
            <w:vAlign w:val="center"/>
          </w:tcPr>
          <w:p w14:paraId="010907B8"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5279DAAF" w14:textId="77777777" w:rsidR="00BF3335" w:rsidRPr="0030401A" w:rsidRDefault="00BF3335" w:rsidP="00BF3335">
            <w:pPr>
              <w:pStyle w:val="Vade-Mecum0"/>
              <w:rPr>
                <w:sz w:val="20"/>
                <w:szCs w:val="20"/>
                <w:lang w:val="nl-NL"/>
              </w:rPr>
            </w:pPr>
          </w:p>
        </w:tc>
        <w:tc>
          <w:tcPr>
            <w:tcW w:w="1134" w:type="dxa"/>
            <w:shd w:val="clear" w:color="auto" w:fill="C0C0C0"/>
            <w:vAlign w:val="center"/>
          </w:tcPr>
          <w:p w14:paraId="27C7584C" w14:textId="77777777" w:rsidR="00BF3335" w:rsidRPr="0030401A" w:rsidRDefault="00BF3335" w:rsidP="00BF3335">
            <w:pPr>
              <w:pStyle w:val="Vade-Mecum0"/>
              <w:rPr>
                <w:sz w:val="20"/>
                <w:szCs w:val="20"/>
                <w:lang w:val="nl-NL"/>
              </w:rPr>
            </w:pPr>
          </w:p>
        </w:tc>
        <w:tc>
          <w:tcPr>
            <w:tcW w:w="1305" w:type="dxa"/>
            <w:shd w:val="clear" w:color="auto" w:fill="C0C0C0"/>
            <w:noWrap/>
            <w:vAlign w:val="center"/>
          </w:tcPr>
          <w:p w14:paraId="2593300E" w14:textId="77777777" w:rsidR="00BF3335" w:rsidRPr="0030401A" w:rsidRDefault="00BF3335" w:rsidP="00BF3335">
            <w:pPr>
              <w:pStyle w:val="Vade-Mecum0"/>
              <w:rPr>
                <w:sz w:val="20"/>
                <w:szCs w:val="20"/>
                <w:lang w:val="nl-NL"/>
              </w:rPr>
            </w:pPr>
          </w:p>
        </w:tc>
      </w:tr>
      <w:tr w:rsidR="00BF3335" w:rsidRPr="00BF3335" w14:paraId="44619D7D" w14:textId="77777777" w:rsidTr="0030401A">
        <w:trPr>
          <w:trHeight w:val="132"/>
        </w:trPr>
        <w:tc>
          <w:tcPr>
            <w:tcW w:w="2452" w:type="dxa"/>
            <w:shd w:val="clear" w:color="auto" w:fill="auto"/>
            <w:vAlign w:val="center"/>
          </w:tcPr>
          <w:p w14:paraId="20DEA30B" w14:textId="77777777" w:rsidR="00BF3335" w:rsidRPr="0030401A" w:rsidRDefault="00BF3335" w:rsidP="00BF3335">
            <w:pPr>
              <w:pStyle w:val="Vade-Mecum0"/>
              <w:rPr>
                <w:b/>
                <w:bCs/>
                <w:sz w:val="20"/>
                <w:szCs w:val="20"/>
                <w:lang w:val="nl-NL"/>
              </w:rPr>
            </w:pPr>
            <w:r w:rsidRPr="0030401A">
              <w:rPr>
                <w:b/>
                <w:bCs/>
                <w:sz w:val="20"/>
                <w:szCs w:val="20"/>
                <w:lang w:val="nl-NL"/>
              </w:rPr>
              <w:t>TOTAAL</w:t>
            </w:r>
          </w:p>
        </w:tc>
        <w:tc>
          <w:tcPr>
            <w:tcW w:w="1134" w:type="dxa"/>
            <w:shd w:val="clear" w:color="auto" w:fill="C0C0C0"/>
            <w:noWrap/>
            <w:vAlign w:val="center"/>
          </w:tcPr>
          <w:p w14:paraId="18219040" w14:textId="77777777" w:rsidR="00BF3335" w:rsidRPr="0030401A" w:rsidRDefault="00BF3335" w:rsidP="00BF3335">
            <w:pPr>
              <w:pStyle w:val="Vade-Mecum0"/>
              <w:rPr>
                <w:sz w:val="20"/>
                <w:szCs w:val="20"/>
                <w:lang w:val="nl-NL"/>
              </w:rPr>
            </w:pPr>
          </w:p>
        </w:tc>
        <w:tc>
          <w:tcPr>
            <w:tcW w:w="1417" w:type="dxa"/>
            <w:shd w:val="clear" w:color="auto" w:fill="C0C0C0"/>
            <w:noWrap/>
            <w:vAlign w:val="center"/>
          </w:tcPr>
          <w:p w14:paraId="5AA7A404" w14:textId="77777777" w:rsidR="00BF3335" w:rsidRPr="0030401A" w:rsidRDefault="00BF3335" w:rsidP="00BF3335">
            <w:pPr>
              <w:pStyle w:val="Vade-Mecum0"/>
              <w:rPr>
                <w:sz w:val="20"/>
                <w:szCs w:val="20"/>
                <w:lang w:val="nl-NL"/>
              </w:rPr>
            </w:pPr>
          </w:p>
        </w:tc>
        <w:tc>
          <w:tcPr>
            <w:tcW w:w="851" w:type="dxa"/>
            <w:shd w:val="clear" w:color="auto" w:fill="C0C0C0"/>
            <w:noWrap/>
            <w:vAlign w:val="center"/>
          </w:tcPr>
          <w:p w14:paraId="6C4C1334" w14:textId="77777777" w:rsidR="00BF3335" w:rsidRPr="0030401A" w:rsidRDefault="00BF3335" w:rsidP="00BF3335">
            <w:pPr>
              <w:pStyle w:val="Vade-Mecum0"/>
              <w:rPr>
                <w:sz w:val="20"/>
                <w:szCs w:val="20"/>
                <w:lang w:val="nl-NL"/>
              </w:rPr>
            </w:pPr>
          </w:p>
        </w:tc>
        <w:tc>
          <w:tcPr>
            <w:tcW w:w="963" w:type="dxa"/>
            <w:shd w:val="clear" w:color="auto" w:fill="auto"/>
            <w:noWrap/>
            <w:vAlign w:val="center"/>
          </w:tcPr>
          <w:p w14:paraId="3D89A55B" w14:textId="77777777" w:rsidR="00BF3335" w:rsidRPr="0030401A" w:rsidRDefault="00BF3335" w:rsidP="00BF3335">
            <w:pPr>
              <w:pStyle w:val="Vade-Mecum0"/>
              <w:rPr>
                <w:sz w:val="20"/>
                <w:szCs w:val="20"/>
                <w:lang w:val="nl-NL"/>
              </w:rPr>
            </w:pPr>
          </w:p>
        </w:tc>
        <w:tc>
          <w:tcPr>
            <w:tcW w:w="1134" w:type="dxa"/>
            <w:vAlign w:val="center"/>
          </w:tcPr>
          <w:p w14:paraId="64996A73" w14:textId="77777777" w:rsidR="00BF3335" w:rsidRPr="0030401A" w:rsidRDefault="00BF3335" w:rsidP="00BF3335">
            <w:pPr>
              <w:pStyle w:val="Vade-Mecum0"/>
              <w:rPr>
                <w:sz w:val="20"/>
                <w:szCs w:val="20"/>
                <w:lang w:val="nl-NL"/>
              </w:rPr>
            </w:pPr>
          </w:p>
        </w:tc>
        <w:tc>
          <w:tcPr>
            <w:tcW w:w="1305" w:type="dxa"/>
            <w:shd w:val="clear" w:color="auto" w:fill="FFFFFF"/>
            <w:noWrap/>
            <w:vAlign w:val="center"/>
          </w:tcPr>
          <w:p w14:paraId="6C95A82C" w14:textId="77777777" w:rsidR="00BF3335" w:rsidRPr="0030401A" w:rsidRDefault="00BF3335" w:rsidP="00BF3335">
            <w:pPr>
              <w:pStyle w:val="Vade-Mecum0"/>
              <w:rPr>
                <w:sz w:val="20"/>
                <w:szCs w:val="20"/>
                <w:lang w:val="nl-NL"/>
              </w:rPr>
            </w:pPr>
          </w:p>
        </w:tc>
      </w:tr>
    </w:tbl>
    <w:p w14:paraId="6FE3A7D6" w14:textId="77777777" w:rsidR="00BF3335" w:rsidRPr="00BF3335" w:rsidRDefault="00BF3335" w:rsidP="00BF3335">
      <w:pPr>
        <w:pStyle w:val="Vade-Mecum0"/>
        <w:rPr>
          <w:sz w:val="20"/>
          <w:szCs w:val="20"/>
          <w:lang w:val="nl-NL"/>
        </w:rPr>
      </w:pPr>
      <w:r w:rsidRPr="00BF3335">
        <w:rPr>
          <w:sz w:val="20"/>
          <w:szCs w:val="20"/>
          <w:lang w:val="nl-NL"/>
        </w:rPr>
        <w:br w:type="page"/>
      </w:r>
    </w:p>
    <w:p w14:paraId="0BAABE5F" w14:textId="77777777" w:rsidR="00BF3335" w:rsidRPr="00BF3335" w:rsidRDefault="00BF3335" w:rsidP="00BF3335">
      <w:pPr>
        <w:pStyle w:val="Vade-Mecum0"/>
        <w:rPr>
          <w:b/>
          <w:bCs/>
          <w:lang w:val="nl-NL"/>
        </w:rPr>
        <w:sectPr w:rsidR="00BF3335" w:rsidRPr="00BF3335">
          <w:footerReference w:type="default" r:id="rId34"/>
          <w:pgSz w:w="11909" w:h="16834" w:code="9"/>
          <w:pgMar w:top="1418" w:right="1418" w:bottom="1418" w:left="1418" w:header="709" w:footer="709" w:gutter="0"/>
          <w:pgNumType w:start="1"/>
          <w:cols w:space="708"/>
          <w:docGrid w:linePitch="360"/>
        </w:sectPr>
      </w:pPr>
      <w:bookmarkStart w:id="766" w:name="_Hlk189502"/>
    </w:p>
    <w:p w14:paraId="3055FF48" w14:textId="77777777" w:rsidR="00BF3335" w:rsidRPr="00BF3335" w:rsidRDefault="00BF3335" w:rsidP="005A7B61">
      <w:pPr>
        <w:pStyle w:val="Vade-mecumtitre1"/>
        <w:numPr>
          <w:ilvl w:val="0"/>
          <w:numId w:val="0"/>
        </w:numPr>
        <w:ind w:left="432" w:hanging="432"/>
      </w:pPr>
      <w:bookmarkStart w:id="767" w:name="_Toc35550160"/>
      <w:bookmarkStart w:id="768" w:name="_Toc117601186"/>
      <w:bookmarkEnd w:id="766"/>
      <w:r w:rsidRPr="00BF3335">
        <w:lastRenderedPageBreak/>
        <w:t>C2. OFFERTEFORMULIER</w:t>
      </w:r>
      <w:bookmarkEnd w:id="767"/>
      <w:bookmarkEnd w:id="768"/>
    </w:p>
    <w:p w14:paraId="24868AC3" w14:textId="317A8D3C" w:rsidR="00BF3335" w:rsidRPr="00BF3335" w:rsidRDefault="00BF3335" w:rsidP="005101A5">
      <w:pPr>
        <w:pStyle w:val="Vade-Mecum0"/>
        <w:spacing w:line="240" w:lineRule="auto"/>
        <w:rPr>
          <w:lang w:val="nl-NL"/>
        </w:rPr>
      </w:pPr>
      <w:r w:rsidRPr="00BF3335">
        <w:rPr>
          <w:lang w:val="nl-NL"/>
        </w:rPr>
        <w:t>Dienst Bijzondere Evaluatie van de Belgische Ontwikkelingssamenwerking (S</w:t>
      </w:r>
      <w:r w:rsidR="005A7B61">
        <w:rPr>
          <w:lang w:val="nl-NL"/>
        </w:rPr>
        <w:t>2</w:t>
      </w:r>
      <w:r w:rsidRPr="00BF3335">
        <w:rPr>
          <w:lang w:val="nl-NL"/>
        </w:rPr>
        <w:t xml:space="preserve">)  Karmelietenstraat 15, B-1000 Brussel, België </w:t>
      </w:r>
    </w:p>
    <w:p w14:paraId="1764020B" w14:textId="1130E1E5" w:rsidR="00E12C6E" w:rsidRPr="0008416C" w:rsidRDefault="005101A5" w:rsidP="005101A5">
      <w:pPr>
        <w:pStyle w:val="Vade-Mecum0"/>
        <w:spacing w:line="240" w:lineRule="auto"/>
        <w:rPr>
          <w:lang w:val="nl-NL"/>
        </w:rPr>
      </w:pPr>
      <w:bookmarkStart w:id="769" w:name="_Hlk529797462"/>
      <w:r w:rsidRPr="0008416C">
        <w:rPr>
          <w:lang w:val="nl-NL"/>
        </w:rPr>
        <w:t>Ivo Hooghe</w:t>
      </w:r>
      <w:r w:rsidR="005A7B61" w:rsidRPr="0008416C">
        <w:rPr>
          <w:lang w:val="nl-NL"/>
        </w:rPr>
        <w:br/>
      </w:r>
      <w:r w:rsidR="00BF3335" w:rsidRPr="0008416C">
        <w:rPr>
          <w:lang w:val="nl-NL"/>
        </w:rPr>
        <w:t xml:space="preserve">Tel: +32 (0)2 501 </w:t>
      </w:r>
      <w:r w:rsidRPr="0008416C">
        <w:rPr>
          <w:lang w:val="nl-NL"/>
        </w:rPr>
        <w:t>86 76</w:t>
      </w:r>
      <w:r w:rsidR="005A7B61" w:rsidRPr="0008416C">
        <w:rPr>
          <w:lang w:val="nl-NL"/>
        </w:rPr>
        <w:br/>
      </w:r>
      <w:r w:rsidR="00BF3335" w:rsidRPr="0008416C">
        <w:rPr>
          <w:lang w:val="nl-NL"/>
        </w:rPr>
        <w:t xml:space="preserve">Email: </w:t>
      </w:r>
      <w:hyperlink r:id="rId35" w:history="1">
        <w:r w:rsidRPr="0008416C">
          <w:rPr>
            <w:rStyle w:val="Hyperlink"/>
            <w:lang w:val="nl-NL"/>
          </w:rPr>
          <w:t>ivo.hooghe@diplobel.fed.be</w:t>
        </w:r>
      </w:hyperlink>
      <w:r w:rsidRPr="0008416C">
        <w:rPr>
          <w:u w:val="single"/>
          <w:lang w:val="nl-NL"/>
        </w:rPr>
        <w:t xml:space="preserve"> </w:t>
      </w:r>
    </w:p>
    <w:p w14:paraId="72AF1A96" w14:textId="77777777" w:rsidR="00E12C6E" w:rsidRPr="0008416C" w:rsidRDefault="00E12C6E" w:rsidP="00E12C6E">
      <w:pPr>
        <w:snapToGrid w:val="0"/>
        <w:spacing w:after="0" w:line="240" w:lineRule="auto"/>
        <w:ind w:right="-1"/>
        <w:jc w:val="left"/>
        <w:rPr>
          <w:rFonts w:eastAsia="Times New Roman" w:cs="Arial"/>
          <w:szCs w:val="22"/>
          <w:lang w:val="nl-NL"/>
        </w:rPr>
      </w:pPr>
    </w:p>
    <w:p w14:paraId="429BEE58" w14:textId="2F01FC0B" w:rsidR="00E12C6E" w:rsidRPr="00E12C6E" w:rsidRDefault="00E12C6E" w:rsidP="79A775EF">
      <w:pPr>
        <w:snapToGrid w:val="0"/>
        <w:spacing w:after="0" w:line="240" w:lineRule="auto"/>
        <w:rPr>
          <w:rFonts w:eastAsia="Times New Roman" w:cs="Arial"/>
          <w:lang w:val="nl-NL"/>
        </w:rPr>
      </w:pPr>
      <w:r w:rsidRPr="79A775EF">
        <w:rPr>
          <w:rFonts w:eastAsia="Times New Roman" w:cs="Arial"/>
          <w:lang w:val="nl-NL"/>
        </w:rPr>
        <w:t xml:space="preserve">BESTEK Nr. </w:t>
      </w:r>
      <w:r w:rsidRPr="79A775EF">
        <w:rPr>
          <w:rFonts w:eastAsia="Times New Roman" w:cs="Times New Roman"/>
          <w:lang w:val="nl-NL"/>
        </w:rPr>
        <w:t>S2/</w:t>
      </w:r>
      <w:r w:rsidRPr="00606AA4">
        <w:rPr>
          <w:rFonts w:eastAsia="Times New Roman" w:cs="Times New Roman"/>
          <w:lang w:val="nl-NL"/>
        </w:rPr>
        <w:t>20</w:t>
      </w:r>
      <w:r w:rsidR="005101A5" w:rsidRPr="00606AA4">
        <w:rPr>
          <w:rFonts w:eastAsia="Times New Roman" w:cs="Times New Roman"/>
          <w:lang w:val="nl-NL"/>
        </w:rPr>
        <w:t>22</w:t>
      </w:r>
      <w:r w:rsidRPr="00606AA4">
        <w:rPr>
          <w:rFonts w:eastAsia="Times New Roman" w:cs="Times New Roman"/>
          <w:lang w:val="nl-NL"/>
        </w:rPr>
        <w:t>/</w:t>
      </w:r>
      <w:r w:rsidR="005101A5" w:rsidRPr="00606AA4">
        <w:rPr>
          <w:rFonts w:eastAsia="Times New Roman" w:cs="Times New Roman"/>
          <w:lang w:val="nl-NL"/>
        </w:rPr>
        <w:t>0</w:t>
      </w:r>
      <w:r w:rsidR="1D2AEEDD" w:rsidRPr="00606AA4">
        <w:rPr>
          <w:rFonts w:eastAsia="Times New Roman" w:cs="Times New Roman"/>
          <w:lang w:val="nl-NL"/>
        </w:rPr>
        <w:t>3</w:t>
      </w:r>
      <w:r w:rsidRPr="79A775EF">
        <w:rPr>
          <w:rFonts w:eastAsia="Times New Roman" w:cs="Arial"/>
          <w:lang w:val="nl-NL"/>
        </w:rPr>
        <w:t xml:space="preserve"> </w:t>
      </w:r>
    </w:p>
    <w:p w14:paraId="704E668C" w14:textId="77777777" w:rsidR="0090117F" w:rsidRPr="00E12C6E" w:rsidRDefault="0090117F" w:rsidP="0090117F">
      <w:pPr>
        <w:framePr w:w="9063" w:h="1182" w:hRule="exact" w:hSpace="141" w:wrap="around" w:vAnchor="text" w:hAnchor="page" w:x="1470" w:y="193"/>
        <w:pBdr>
          <w:top w:val="single" w:sz="6" w:space="1" w:color="auto"/>
          <w:left w:val="single" w:sz="6" w:space="1" w:color="auto"/>
          <w:bottom w:val="single" w:sz="6" w:space="1" w:color="auto"/>
          <w:right w:val="single" w:sz="6" w:space="1" w:color="auto"/>
        </w:pBdr>
        <w:snapToGrid w:val="0"/>
        <w:spacing w:after="0" w:line="360" w:lineRule="auto"/>
        <w:ind w:right="-1"/>
        <w:jc w:val="left"/>
        <w:rPr>
          <w:rFonts w:eastAsia="Times New Roman" w:cs="Arial"/>
          <w:szCs w:val="22"/>
          <w:lang w:val="nl-NL"/>
        </w:rPr>
      </w:pPr>
    </w:p>
    <w:p w14:paraId="0AC10CBD" w14:textId="77777777" w:rsidR="0090117F" w:rsidRPr="00E12C6E" w:rsidRDefault="0090117F" w:rsidP="0090117F">
      <w:pPr>
        <w:framePr w:w="9063" w:h="1182" w:hRule="exact" w:hSpace="141" w:wrap="around" w:vAnchor="text" w:hAnchor="page" w:x="1470" w:y="193"/>
        <w:pBdr>
          <w:top w:val="single" w:sz="6" w:space="1" w:color="auto"/>
          <w:left w:val="single" w:sz="6" w:space="1" w:color="auto"/>
          <w:bottom w:val="single" w:sz="6" w:space="1" w:color="auto"/>
          <w:right w:val="single" w:sz="6" w:space="1" w:color="auto"/>
        </w:pBdr>
        <w:snapToGrid w:val="0"/>
        <w:spacing w:after="0" w:line="360" w:lineRule="auto"/>
        <w:ind w:right="-1"/>
        <w:rPr>
          <w:rFonts w:eastAsia="Times New Roman" w:cs="Arial"/>
          <w:szCs w:val="22"/>
          <w:lang w:val="nl-NL"/>
        </w:rPr>
      </w:pPr>
      <w:r>
        <w:rPr>
          <w:rFonts w:eastAsia="Times New Roman" w:cs="Arial"/>
          <w:szCs w:val="22"/>
          <w:lang w:val="nl-NL"/>
        </w:rPr>
        <w:t xml:space="preserve">Overheidsopdracht </w:t>
      </w:r>
      <w:r w:rsidRPr="00606AA4">
        <w:rPr>
          <w:rFonts w:eastAsia="Times New Roman" w:cs="Arial"/>
          <w:szCs w:val="22"/>
          <w:lang w:val="nl-NL"/>
        </w:rPr>
        <w:t xml:space="preserve">voor </w:t>
      </w:r>
      <w:r w:rsidRPr="00606AA4">
        <w:rPr>
          <w:rFonts w:eastAsia="Times New Roman" w:cs="Times New Roman"/>
          <w:szCs w:val="22"/>
          <w:lang w:val="nl-NL"/>
        </w:rPr>
        <w:t xml:space="preserve">de evaluatie van </w:t>
      </w:r>
      <w:r w:rsidRPr="00606AA4">
        <w:rPr>
          <w:rFonts w:eastAsia="Times New Roman" w:cs="Calibri"/>
          <w:szCs w:val="22"/>
          <w:lang w:val="nl-NL"/>
        </w:rPr>
        <w:t>de Belgische fragiliteitsbenadering</w:t>
      </w:r>
    </w:p>
    <w:p w14:paraId="73137790" w14:textId="77777777" w:rsidR="00E12C6E" w:rsidRPr="00E12C6E" w:rsidRDefault="00E12C6E" w:rsidP="00E12C6E">
      <w:pPr>
        <w:snapToGrid w:val="0"/>
        <w:spacing w:after="0" w:line="360" w:lineRule="auto"/>
        <w:rPr>
          <w:rFonts w:eastAsia="Times New Roman" w:cs="Arial"/>
          <w:szCs w:val="22"/>
          <w:lang w:val="nl-NL"/>
        </w:rPr>
      </w:pPr>
    </w:p>
    <w:bookmarkEnd w:id="769"/>
    <w:p w14:paraId="34BA2A88" w14:textId="2A706E43" w:rsidR="00DD1C21" w:rsidRPr="00DD1C21" w:rsidRDefault="00DD1C21" w:rsidP="00DA522B">
      <w:pPr>
        <w:snapToGrid w:val="0"/>
        <w:spacing w:line="360" w:lineRule="auto"/>
        <w:jc w:val="both"/>
        <w:rPr>
          <w:rFonts w:cs="Arial"/>
          <w:sz w:val="20"/>
          <w:szCs w:val="20"/>
          <w:lang w:val="nl-NL"/>
        </w:rPr>
      </w:pPr>
      <w:r w:rsidRPr="00DD1C21">
        <w:rPr>
          <w:rFonts w:cs="Arial"/>
          <w:sz w:val="20"/>
          <w:szCs w:val="20"/>
          <w:lang w:val="nl-NL"/>
        </w:rPr>
        <w:t>De firma:</w:t>
      </w:r>
    </w:p>
    <w:tbl>
      <w:tblPr>
        <w:tblW w:w="0" w:type="auto"/>
        <w:tblLayout w:type="fixed"/>
        <w:tblCellMar>
          <w:left w:w="70" w:type="dxa"/>
          <w:right w:w="70" w:type="dxa"/>
        </w:tblCellMar>
        <w:tblLook w:val="04A0" w:firstRow="1" w:lastRow="0" w:firstColumn="1" w:lastColumn="0" w:noHBand="0" w:noVBand="1"/>
      </w:tblPr>
      <w:tblGrid>
        <w:gridCol w:w="9211"/>
      </w:tblGrid>
      <w:tr w:rsidR="00DD1C21" w:rsidRPr="00DD1C21" w14:paraId="52C8CB99" w14:textId="77777777">
        <w:tc>
          <w:tcPr>
            <w:tcW w:w="9211" w:type="dxa"/>
            <w:tcBorders>
              <w:top w:val="single" w:sz="6" w:space="0" w:color="auto"/>
              <w:left w:val="single" w:sz="6" w:space="0" w:color="auto"/>
              <w:bottom w:val="single" w:sz="6" w:space="0" w:color="auto"/>
              <w:right w:val="single" w:sz="6" w:space="0" w:color="auto"/>
            </w:tcBorders>
          </w:tcPr>
          <w:p w14:paraId="64FE7587" w14:textId="77777777" w:rsidR="00DD1C21" w:rsidRPr="00DD1C21" w:rsidRDefault="00DD1C21" w:rsidP="00DD1C21">
            <w:pPr>
              <w:snapToGrid w:val="0"/>
              <w:spacing w:line="360" w:lineRule="auto"/>
              <w:rPr>
                <w:rFonts w:cs="Arial"/>
                <w:sz w:val="20"/>
                <w:szCs w:val="20"/>
                <w:lang w:val="nl-NL"/>
              </w:rPr>
            </w:pPr>
          </w:p>
          <w:p w14:paraId="10EF98E2" w14:textId="77777777" w:rsidR="00DD1C21" w:rsidRPr="00DD1C21" w:rsidRDefault="00DD1C21" w:rsidP="00DD1C21">
            <w:pPr>
              <w:snapToGrid w:val="0"/>
              <w:spacing w:line="360" w:lineRule="auto"/>
              <w:jc w:val="right"/>
              <w:rPr>
                <w:rFonts w:cs="Arial"/>
                <w:sz w:val="20"/>
                <w:szCs w:val="20"/>
                <w:lang w:val="nl-NL"/>
              </w:rPr>
            </w:pPr>
            <w:r w:rsidRPr="00DD1C21">
              <w:rPr>
                <w:rFonts w:cs="Arial"/>
                <w:sz w:val="20"/>
                <w:szCs w:val="20"/>
                <w:lang w:val="nl-NL"/>
              </w:rPr>
              <w:t>(volledige benaming)</w:t>
            </w:r>
          </w:p>
        </w:tc>
      </w:tr>
    </w:tbl>
    <w:p w14:paraId="3D288690" w14:textId="77777777" w:rsidR="00DA522B" w:rsidRDefault="00DA522B" w:rsidP="00DA522B">
      <w:pPr>
        <w:snapToGrid w:val="0"/>
        <w:spacing w:line="360" w:lineRule="auto"/>
        <w:jc w:val="both"/>
        <w:rPr>
          <w:rFonts w:cs="Arial"/>
          <w:sz w:val="20"/>
          <w:szCs w:val="20"/>
          <w:lang w:val="nl-NL"/>
        </w:rPr>
      </w:pPr>
    </w:p>
    <w:p w14:paraId="7D26411F" w14:textId="7ADE4C78" w:rsidR="00DD1C21" w:rsidRPr="00DD1C21" w:rsidRDefault="00DD1C21" w:rsidP="00DA522B">
      <w:pPr>
        <w:snapToGrid w:val="0"/>
        <w:spacing w:line="360" w:lineRule="auto"/>
        <w:jc w:val="both"/>
        <w:rPr>
          <w:rFonts w:cs="Arial"/>
          <w:sz w:val="20"/>
          <w:szCs w:val="20"/>
          <w:lang w:val="nl-NL"/>
        </w:rPr>
      </w:pPr>
      <w:r w:rsidRPr="00DD1C21">
        <w:rPr>
          <w:rFonts w:cs="Arial"/>
          <w:sz w:val="20"/>
          <w:szCs w:val="20"/>
          <w:lang w:val="nl-NL"/>
        </w:rPr>
        <w:t>met als adres:</w:t>
      </w:r>
    </w:p>
    <w:tbl>
      <w:tblPr>
        <w:tblW w:w="0" w:type="auto"/>
        <w:tblLayout w:type="fixed"/>
        <w:tblCellMar>
          <w:left w:w="70" w:type="dxa"/>
          <w:right w:w="70" w:type="dxa"/>
        </w:tblCellMar>
        <w:tblLook w:val="04A0" w:firstRow="1" w:lastRow="0" w:firstColumn="1" w:lastColumn="0" w:noHBand="0" w:noVBand="1"/>
      </w:tblPr>
      <w:tblGrid>
        <w:gridCol w:w="9211"/>
      </w:tblGrid>
      <w:tr w:rsidR="00DD1C21" w:rsidRPr="002B7D1F" w14:paraId="01B497DE" w14:textId="77777777">
        <w:tc>
          <w:tcPr>
            <w:tcW w:w="9211" w:type="dxa"/>
            <w:tcBorders>
              <w:top w:val="single" w:sz="6" w:space="0" w:color="auto"/>
              <w:left w:val="single" w:sz="6" w:space="0" w:color="auto"/>
              <w:bottom w:val="single" w:sz="6" w:space="0" w:color="auto"/>
              <w:right w:val="single" w:sz="6" w:space="0" w:color="auto"/>
            </w:tcBorders>
          </w:tcPr>
          <w:p w14:paraId="2EAB315E" w14:textId="1F050C69" w:rsidR="00DD1C21" w:rsidRPr="00DD1C21" w:rsidRDefault="00DD1C21" w:rsidP="00DA522B">
            <w:pPr>
              <w:snapToGrid w:val="0"/>
              <w:spacing w:line="360" w:lineRule="auto"/>
              <w:jc w:val="right"/>
              <w:rPr>
                <w:rFonts w:cs="Arial"/>
                <w:sz w:val="20"/>
                <w:szCs w:val="20"/>
                <w:lang w:val="nl-BE"/>
              </w:rPr>
            </w:pPr>
            <w:r w:rsidRPr="00DD1C21">
              <w:rPr>
                <w:rFonts w:cs="Arial"/>
                <w:sz w:val="20"/>
                <w:szCs w:val="20"/>
                <w:lang w:val="nl-BE"/>
              </w:rPr>
              <w:t>(</w:t>
            </w:r>
            <w:r w:rsidRPr="00DD1C21">
              <w:rPr>
                <w:rFonts w:cs="Arial"/>
                <w:sz w:val="20"/>
                <w:szCs w:val="20"/>
                <w:lang w:val="nl-NL"/>
              </w:rPr>
              <w:t>straat</w:t>
            </w:r>
            <w:r w:rsidRPr="00DD1C21">
              <w:rPr>
                <w:rFonts w:cs="Arial"/>
                <w:sz w:val="20"/>
                <w:szCs w:val="20"/>
                <w:lang w:val="nl-BE"/>
              </w:rPr>
              <w:t>)</w:t>
            </w:r>
          </w:p>
          <w:p w14:paraId="0690EFAD" w14:textId="03EDF292" w:rsidR="00DD1C21" w:rsidRPr="00DD1C21" w:rsidRDefault="00DD1C21" w:rsidP="00DA522B">
            <w:pPr>
              <w:snapToGrid w:val="0"/>
              <w:spacing w:line="360" w:lineRule="auto"/>
              <w:jc w:val="right"/>
              <w:rPr>
                <w:rFonts w:cs="Arial"/>
                <w:sz w:val="20"/>
                <w:szCs w:val="20"/>
                <w:lang w:val="nl-BE"/>
              </w:rPr>
            </w:pPr>
            <w:r w:rsidRPr="00DD1C21">
              <w:rPr>
                <w:rFonts w:cs="Arial"/>
                <w:sz w:val="20"/>
                <w:szCs w:val="20"/>
                <w:lang w:val="nl-BE"/>
              </w:rPr>
              <w:t>(</w:t>
            </w:r>
            <w:r w:rsidRPr="00DD1C21">
              <w:rPr>
                <w:rFonts w:cs="Arial"/>
                <w:sz w:val="20"/>
                <w:szCs w:val="20"/>
                <w:lang w:val="nl-NL"/>
              </w:rPr>
              <w:t>postnr en gemeente</w:t>
            </w:r>
            <w:r w:rsidRPr="00DD1C21">
              <w:rPr>
                <w:rFonts w:cs="Arial"/>
                <w:sz w:val="20"/>
                <w:szCs w:val="20"/>
                <w:lang w:val="nl-BE"/>
              </w:rPr>
              <w:t>)</w:t>
            </w:r>
          </w:p>
          <w:p w14:paraId="2EC975AF" w14:textId="2F23A497"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 xml:space="preserve">(land) </w:t>
            </w:r>
          </w:p>
        </w:tc>
      </w:tr>
    </w:tbl>
    <w:p w14:paraId="0832BDBC" w14:textId="77777777" w:rsidR="00DD1C21" w:rsidRPr="00DD1C21" w:rsidRDefault="00DD1C21" w:rsidP="00DD1C21">
      <w:pPr>
        <w:snapToGrid w:val="0"/>
        <w:spacing w:line="360" w:lineRule="auto"/>
        <w:ind w:right="-1"/>
        <w:rPr>
          <w:rFonts w:cs="Arial"/>
          <w:sz w:val="20"/>
          <w:szCs w:val="20"/>
          <w:lang w:val="nl-NL"/>
        </w:rPr>
      </w:pPr>
    </w:p>
    <w:tbl>
      <w:tblPr>
        <w:tblW w:w="0" w:type="auto"/>
        <w:tblLayout w:type="fixed"/>
        <w:tblCellMar>
          <w:left w:w="70" w:type="dxa"/>
          <w:right w:w="70" w:type="dxa"/>
        </w:tblCellMar>
        <w:tblLook w:val="04A0" w:firstRow="1" w:lastRow="0" w:firstColumn="1" w:lastColumn="0" w:noHBand="0" w:noVBand="1"/>
      </w:tblPr>
      <w:tblGrid>
        <w:gridCol w:w="4181"/>
        <w:gridCol w:w="5029"/>
      </w:tblGrid>
      <w:tr w:rsidR="00DD1C21" w:rsidRPr="002B7D1F" w14:paraId="050CE729" w14:textId="77777777">
        <w:tc>
          <w:tcPr>
            <w:tcW w:w="4181" w:type="dxa"/>
            <w:hideMark/>
          </w:tcPr>
          <w:p w14:paraId="1DA59939" w14:textId="49BD6035" w:rsidR="00DD1C21" w:rsidRPr="00DD1C21" w:rsidRDefault="00DD1C21" w:rsidP="00DD1C21">
            <w:pPr>
              <w:snapToGrid w:val="0"/>
              <w:spacing w:line="240" w:lineRule="auto"/>
              <w:rPr>
                <w:rFonts w:cs="Arial"/>
                <w:sz w:val="20"/>
                <w:szCs w:val="20"/>
                <w:lang w:val="nl-NL"/>
              </w:rPr>
            </w:pPr>
            <w:r w:rsidRPr="00DD1C21">
              <w:rPr>
                <w:rFonts w:cs="Arial"/>
                <w:sz w:val="20"/>
                <w:szCs w:val="20"/>
                <w:lang w:val="nl-NL"/>
              </w:rPr>
              <w:t xml:space="preserve">Ingeschreven bij de </w:t>
            </w:r>
            <w:r w:rsidRPr="00DD1C21">
              <w:rPr>
                <w:rFonts w:cs="Arial"/>
                <w:bCs/>
                <w:sz w:val="20"/>
                <w:szCs w:val="20"/>
                <w:lang w:val="nl-NL"/>
              </w:rPr>
              <w:t>Kruispuntbank van de</w:t>
            </w:r>
            <w:r w:rsidR="002E704D">
              <w:rPr>
                <w:rFonts w:cs="Arial"/>
                <w:bCs/>
                <w:sz w:val="20"/>
                <w:szCs w:val="20"/>
                <w:lang w:val="nl-NL"/>
              </w:rPr>
              <w:t xml:space="preserve"> </w:t>
            </w:r>
            <w:r w:rsidRPr="00DD1C21">
              <w:rPr>
                <w:rFonts w:cs="Arial"/>
                <w:bCs/>
                <w:sz w:val="20"/>
                <w:szCs w:val="20"/>
                <w:lang w:val="nl-NL"/>
              </w:rPr>
              <w:t>Ondernemingen</w:t>
            </w:r>
            <w:r w:rsidRPr="00DD1C21">
              <w:rPr>
                <w:rFonts w:cs="Arial"/>
                <w:sz w:val="20"/>
                <w:szCs w:val="20"/>
                <w:lang w:val="nl-NL"/>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74F3F035" w14:textId="77777777" w:rsidR="00DD1C21" w:rsidRPr="00DD1C21" w:rsidRDefault="00DD1C21" w:rsidP="00DD1C21">
            <w:pPr>
              <w:snapToGrid w:val="0"/>
              <w:spacing w:line="360" w:lineRule="auto"/>
              <w:rPr>
                <w:rFonts w:cs="Arial"/>
                <w:sz w:val="20"/>
                <w:szCs w:val="20"/>
                <w:lang w:val="nl-NL"/>
              </w:rPr>
            </w:pPr>
          </w:p>
          <w:p w14:paraId="4D5305A8" w14:textId="77777777" w:rsidR="00DD1C21" w:rsidRPr="00DD1C21" w:rsidRDefault="00DD1C21" w:rsidP="00DD1C21">
            <w:pPr>
              <w:snapToGrid w:val="0"/>
              <w:spacing w:line="360" w:lineRule="auto"/>
              <w:rPr>
                <w:rFonts w:cs="Arial"/>
                <w:sz w:val="20"/>
                <w:szCs w:val="20"/>
                <w:lang w:val="nl-NL"/>
              </w:rPr>
            </w:pPr>
          </w:p>
        </w:tc>
      </w:tr>
    </w:tbl>
    <w:p w14:paraId="5B0CBD4D" w14:textId="77777777" w:rsidR="00DD1C21" w:rsidRPr="00DD1C21" w:rsidRDefault="00DD1C21" w:rsidP="00DD1C21">
      <w:pPr>
        <w:snapToGrid w:val="0"/>
        <w:spacing w:line="360" w:lineRule="auto"/>
        <w:ind w:right="-1"/>
        <w:rPr>
          <w:rFonts w:cs="Arial"/>
          <w:sz w:val="20"/>
          <w:szCs w:val="20"/>
          <w:lang w:val="nl-NL"/>
        </w:rPr>
      </w:pPr>
    </w:p>
    <w:tbl>
      <w:tblPr>
        <w:tblW w:w="0" w:type="auto"/>
        <w:tblLayout w:type="fixed"/>
        <w:tblCellMar>
          <w:left w:w="70" w:type="dxa"/>
          <w:right w:w="70" w:type="dxa"/>
        </w:tblCellMar>
        <w:tblLook w:val="04A0" w:firstRow="1" w:lastRow="0" w:firstColumn="1" w:lastColumn="0" w:noHBand="0" w:noVBand="1"/>
      </w:tblPr>
      <w:tblGrid>
        <w:gridCol w:w="4181"/>
        <w:gridCol w:w="5029"/>
      </w:tblGrid>
      <w:tr w:rsidR="00DD1C21" w:rsidRPr="00DD1C21" w14:paraId="6C1D359F" w14:textId="77777777">
        <w:tc>
          <w:tcPr>
            <w:tcW w:w="4181" w:type="dxa"/>
            <w:hideMark/>
          </w:tcPr>
          <w:p w14:paraId="12C70FA9" w14:textId="77777777" w:rsidR="00DD1C21" w:rsidRPr="00DD1C21" w:rsidRDefault="00DD1C21" w:rsidP="002E704D">
            <w:pPr>
              <w:snapToGrid w:val="0"/>
              <w:spacing w:line="360" w:lineRule="auto"/>
              <w:jc w:val="both"/>
              <w:rPr>
                <w:rFonts w:cs="Arial"/>
                <w:i/>
                <w:sz w:val="20"/>
                <w:szCs w:val="20"/>
                <w:lang w:val="nl-NL"/>
              </w:rPr>
            </w:pPr>
            <w:r w:rsidRPr="00DD1C21">
              <w:rPr>
                <w:rFonts w:cs="Arial"/>
                <w:sz w:val="20"/>
                <w:szCs w:val="20"/>
                <w:lang w:val="nl-NL"/>
              </w:rPr>
              <w:t>en waarvoor Mijnheer/Mevrouw/x</w:t>
            </w:r>
            <w:r w:rsidRPr="00DD1C21">
              <w:rPr>
                <w:rFonts w:cs="Arial"/>
                <w:sz w:val="20"/>
                <w:szCs w:val="20"/>
                <w:vertAlign w:val="superscript"/>
                <w:lang w:val="nl-NL"/>
              </w:rPr>
              <w:footnoteReference w:id="9"/>
            </w:r>
            <w:r w:rsidRPr="00DD1C21">
              <w:rPr>
                <w:rFonts w:cs="Arial"/>
                <w:sz w:val="20"/>
                <w:szCs w:val="20"/>
                <w:lang w:val="nl-NL"/>
              </w:rPr>
              <w:t>:</w:t>
            </w:r>
          </w:p>
        </w:tc>
        <w:tc>
          <w:tcPr>
            <w:tcW w:w="5029" w:type="dxa"/>
            <w:tcBorders>
              <w:top w:val="single" w:sz="6" w:space="0" w:color="auto"/>
              <w:left w:val="single" w:sz="6" w:space="0" w:color="auto"/>
              <w:bottom w:val="single" w:sz="6" w:space="0" w:color="auto"/>
              <w:right w:val="single" w:sz="6" w:space="0" w:color="auto"/>
            </w:tcBorders>
            <w:hideMark/>
          </w:tcPr>
          <w:p w14:paraId="0636E409" w14:textId="784448B9"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(naam)</w:t>
            </w:r>
          </w:p>
          <w:p w14:paraId="08E04C68" w14:textId="257DF049"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(functie)</w:t>
            </w:r>
          </w:p>
          <w:p w14:paraId="1FDFE9E8" w14:textId="77777777" w:rsidR="00DD1C21" w:rsidRPr="00DD1C21" w:rsidRDefault="00DD1C21" w:rsidP="00DD1C21">
            <w:pPr>
              <w:snapToGrid w:val="0"/>
              <w:spacing w:line="360" w:lineRule="auto"/>
              <w:jc w:val="right"/>
              <w:rPr>
                <w:rFonts w:cs="Arial"/>
                <w:sz w:val="20"/>
                <w:szCs w:val="20"/>
                <w:lang w:val="nl-NL"/>
              </w:rPr>
            </w:pPr>
          </w:p>
        </w:tc>
      </w:tr>
    </w:tbl>
    <w:p w14:paraId="6B323DC0" w14:textId="77777777" w:rsidR="00DD1C21" w:rsidRPr="00DD1C21" w:rsidRDefault="00DD1C21" w:rsidP="00DA522B">
      <w:pPr>
        <w:snapToGrid w:val="0"/>
        <w:spacing w:line="360" w:lineRule="auto"/>
        <w:ind w:right="-1"/>
        <w:jc w:val="both"/>
        <w:rPr>
          <w:rFonts w:cs="Arial"/>
          <w:sz w:val="20"/>
          <w:szCs w:val="20"/>
          <w:lang w:val="nl-NL"/>
        </w:rPr>
      </w:pPr>
    </w:p>
    <w:p w14:paraId="0177F1BB" w14:textId="77777777" w:rsidR="00DD1C21" w:rsidRPr="00DD1C21" w:rsidRDefault="00DD1C21" w:rsidP="002E704D">
      <w:pPr>
        <w:snapToGrid w:val="0"/>
        <w:spacing w:line="360" w:lineRule="auto"/>
        <w:ind w:right="-1"/>
        <w:jc w:val="both"/>
        <w:rPr>
          <w:rFonts w:cs="Arial"/>
          <w:sz w:val="20"/>
          <w:szCs w:val="20"/>
          <w:lang w:val="nl-NL"/>
        </w:rPr>
      </w:pPr>
      <w:r w:rsidRPr="00DD1C21">
        <w:rPr>
          <w:rFonts w:cs="Arial"/>
          <w:sz w:val="20"/>
          <w:szCs w:val="20"/>
          <w:lang w:val="nl-NL"/>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DD1C21" w:rsidRPr="002B7D1F" w14:paraId="4479C223" w14:textId="77777777">
        <w:tc>
          <w:tcPr>
            <w:tcW w:w="9211" w:type="dxa"/>
            <w:tcBorders>
              <w:top w:val="single" w:sz="6" w:space="0" w:color="auto"/>
              <w:left w:val="single" w:sz="6" w:space="0" w:color="auto"/>
              <w:bottom w:val="single" w:sz="6" w:space="0" w:color="auto"/>
              <w:right w:val="single" w:sz="6" w:space="0" w:color="auto"/>
            </w:tcBorders>
          </w:tcPr>
          <w:p w14:paraId="71813386" w14:textId="77777777" w:rsidR="00DD1C21" w:rsidRPr="00DD1C21" w:rsidRDefault="00DD1C21" w:rsidP="00DD1C21">
            <w:pPr>
              <w:snapToGrid w:val="0"/>
              <w:spacing w:line="360" w:lineRule="auto"/>
              <w:jc w:val="right"/>
              <w:rPr>
                <w:rFonts w:cs="Arial"/>
                <w:sz w:val="20"/>
                <w:szCs w:val="20"/>
                <w:lang w:val="nl-NL"/>
              </w:rPr>
            </w:pPr>
          </w:p>
          <w:p w14:paraId="6D572968" w14:textId="3BF8825F" w:rsidR="00DD1C21" w:rsidRPr="00DD1C21" w:rsidRDefault="00DD1C21" w:rsidP="00DA522B">
            <w:pPr>
              <w:snapToGrid w:val="0"/>
              <w:spacing w:line="360" w:lineRule="auto"/>
              <w:jc w:val="right"/>
              <w:rPr>
                <w:rFonts w:cs="Arial"/>
                <w:sz w:val="20"/>
                <w:szCs w:val="20"/>
                <w:lang w:val="nl-BE"/>
              </w:rPr>
            </w:pPr>
            <w:r w:rsidRPr="00DD1C21">
              <w:rPr>
                <w:rFonts w:cs="Arial"/>
                <w:sz w:val="20"/>
                <w:szCs w:val="20"/>
                <w:lang w:val="nl-BE"/>
              </w:rPr>
              <w:t>(</w:t>
            </w:r>
            <w:r w:rsidRPr="00DD1C21">
              <w:rPr>
                <w:rFonts w:cs="Arial"/>
                <w:sz w:val="20"/>
                <w:szCs w:val="20"/>
                <w:lang w:val="nl-NL"/>
              </w:rPr>
              <w:t>straat</w:t>
            </w:r>
            <w:r w:rsidRPr="00DD1C21">
              <w:rPr>
                <w:rFonts w:cs="Arial"/>
                <w:sz w:val="20"/>
                <w:szCs w:val="20"/>
                <w:lang w:val="nl-BE"/>
              </w:rPr>
              <w:t>)</w:t>
            </w:r>
          </w:p>
          <w:p w14:paraId="77DABBBE" w14:textId="09C94CEF" w:rsidR="00DD1C21" w:rsidRPr="00DD1C21" w:rsidRDefault="00DD1C21" w:rsidP="00DA522B">
            <w:pPr>
              <w:snapToGrid w:val="0"/>
              <w:spacing w:line="360" w:lineRule="auto"/>
              <w:jc w:val="right"/>
              <w:rPr>
                <w:rFonts w:cs="Arial"/>
                <w:sz w:val="20"/>
                <w:szCs w:val="20"/>
                <w:lang w:val="nl-BE"/>
              </w:rPr>
            </w:pPr>
            <w:r w:rsidRPr="00DD1C21">
              <w:rPr>
                <w:rFonts w:cs="Arial"/>
                <w:sz w:val="20"/>
                <w:szCs w:val="20"/>
                <w:lang w:val="nl-BE"/>
              </w:rPr>
              <w:t>(</w:t>
            </w:r>
            <w:r w:rsidRPr="00DD1C21">
              <w:rPr>
                <w:rFonts w:cs="Arial"/>
                <w:sz w:val="20"/>
                <w:szCs w:val="20"/>
                <w:lang w:val="nl-NL"/>
              </w:rPr>
              <w:t>postnr en gemeente</w:t>
            </w:r>
            <w:r w:rsidRPr="00DD1C21">
              <w:rPr>
                <w:rFonts w:cs="Arial"/>
                <w:sz w:val="20"/>
                <w:szCs w:val="20"/>
                <w:lang w:val="nl-BE"/>
              </w:rPr>
              <w:t>)</w:t>
            </w:r>
          </w:p>
          <w:p w14:paraId="3C167455" w14:textId="37F7249B"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 xml:space="preserve">(land) </w:t>
            </w:r>
          </w:p>
        </w:tc>
      </w:tr>
    </w:tbl>
    <w:p w14:paraId="0E1989B7" w14:textId="77777777" w:rsidR="00DD1C21" w:rsidRPr="00DD1C21" w:rsidRDefault="00DD1C21" w:rsidP="00DD1C21">
      <w:pPr>
        <w:snapToGrid w:val="0"/>
        <w:spacing w:line="240" w:lineRule="auto"/>
        <w:ind w:right="-1"/>
        <w:rPr>
          <w:rFonts w:cs="Arial"/>
          <w:sz w:val="20"/>
          <w:szCs w:val="20"/>
          <w:lang w:val="nl-NL"/>
        </w:rPr>
      </w:pPr>
    </w:p>
    <w:p w14:paraId="04C4F286" w14:textId="33A4FB04" w:rsidR="00DD1C21" w:rsidRPr="00DD1C21" w:rsidRDefault="00DD1C21" w:rsidP="00DD1C21">
      <w:pPr>
        <w:snapToGrid w:val="0"/>
        <w:spacing w:line="240" w:lineRule="auto"/>
        <w:ind w:right="-1"/>
        <w:jc w:val="both"/>
        <w:rPr>
          <w:rFonts w:cs="Arial"/>
          <w:spacing w:val="-4"/>
          <w:sz w:val="20"/>
          <w:szCs w:val="20"/>
          <w:lang w:val="nl-NL"/>
        </w:rPr>
      </w:pPr>
      <w:bookmarkStart w:id="770" w:name="_Hlk529797480"/>
      <w:r w:rsidRPr="00DD1C21">
        <w:rPr>
          <w:rFonts w:cs="Arial"/>
          <w:spacing w:val="-4"/>
          <w:sz w:val="20"/>
          <w:szCs w:val="20"/>
          <w:lang w:val="nl-NL"/>
        </w:rPr>
        <w:t xml:space="preserve">als inschrijver of gevolmachtigde optreedt en hieronder ondertekent, verbindt zich tot de uitvoering, overeenkomstig de voorwaarden en bepalingen van het bestek nr. </w:t>
      </w:r>
      <w:r w:rsidRPr="00DD1C21">
        <w:rPr>
          <w:sz w:val="20"/>
          <w:szCs w:val="20"/>
          <w:lang w:val="nl-NL"/>
        </w:rPr>
        <w:t>S2/</w:t>
      </w:r>
      <w:r w:rsidRPr="007969EC">
        <w:rPr>
          <w:sz w:val="20"/>
          <w:szCs w:val="20"/>
          <w:lang w:val="nl-NL"/>
        </w:rPr>
        <w:t>20</w:t>
      </w:r>
      <w:r w:rsidR="005101A5" w:rsidRPr="007969EC">
        <w:rPr>
          <w:sz w:val="20"/>
          <w:szCs w:val="20"/>
          <w:lang w:val="nl-NL"/>
        </w:rPr>
        <w:t>22</w:t>
      </w:r>
      <w:r w:rsidRPr="007969EC">
        <w:rPr>
          <w:sz w:val="20"/>
          <w:szCs w:val="20"/>
          <w:lang w:val="nl-NL"/>
        </w:rPr>
        <w:t>/</w:t>
      </w:r>
      <w:r w:rsidR="005101A5" w:rsidRPr="007969EC">
        <w:rPr>
          <w:sz w:val="20"/>
          <w:szCs w:val="20"/>
          <w:lang w:val="nl-NL"/>
        </w:rPr>
        <w:t>0</w:t>
      </w:r>
      <w:r w:rsidR="1EDF05F1" w:rsidRPr="007969EC">
        <w:rPr>
          <w:sz w:val="20"/>
          <w:szCs w:val="20"/>
          <w:lang w:val="nl-NL"/>
        </w:rPr>
        <w:t>3</w:t>
      </w:r>
      <w:r w:rsidRPr="007969EC">
        <w:rPr>
          <w:rFonts w:cs="Arial"/>
          <w:spacing w:val="-4"/>
          <w:sz w:val="20"/>
          <w:szCs w:val="20"/>
          <w:lang w:val="nl-NL"/>
        </w:rPr>
        <w:t xml:space="preserve"> van</w:t>
      </w:r>
      <w:r w:rsidRPr="00DD1C21">
        <w:rPr>
          <w:rFonts w:cs="Arial"/>
          <w:spacing w:val="-4"/>
          <w:sz w:val="20"/>
          <w:szCs w:val="20"/>
          <w:lang w:val="nl-NL"/>
        </w:rPr>
        <w:t xml:space="preserve"> de hiervoor omschreven dienst, vormende het enige perceel, uit te voeren, tegen de hieronder vermelde globale prijs, aangeduid in letters en in cijfers, uitgedrukt in EURO, exclusief BTW, van</w:t>
      </w:r>
      <w:bookmarkEnd w:id="770"/>
      <w:r w:rsidRPr="00DD1C21">
        <w:rPr>
          <w:rFonts w:cs="Arial"/>
          <w:spacing w:val="-4"/>
          <w:sz w:val="20"/>
          <w:szCs w:val="20"/>
          <w:lang w:val="nl-NL"/>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4A0" w:firstRow="1" w:lastRow="0" w:firstColumn="1" w:lastColumn="0" w:noHBand="0" w:noVBand="1"/>
      </w:tblPr>
      <w:tblGrid>
        <w:gridCol w:w="9211"/>
      </w:tblGrid>
      <w:tr w:rsidR="00DD1C21" w:rsidRPr="002B7D1F" w14:paraId="639B25E3" w14:textId="77777777">
        <w:tc>
          <w:tcPr>
            <w:tcW w:w="9211" w:type="dxa"/>
            <w:tcBorders>
              <w:top w:val="thickThinSmallGap" w:sz="24" w:space="0" w:color="auto"/>
              <w:left w:val="thickThinSmallGap" w:sz="24" w:space="0" w:color="auto"/>
              <w:bottom w:val="thinThickSmallGap" w:sz="24" w:space="0" w:color="auto"/>
              <w:right w:val="thinThickSmallGap" w:sz="24" w:space="0" w:color="auto"/>
            </w:tcBorders>
          </w:tcPr>
          <w:p w14:paraId="1298A545"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05091073"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47C8D116"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7E0A1381"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r w:rsidRPr="00DD1C21">
              <w:rPr>
                <w:rFonts w:ascii="Symbol" w:eastAsia="Symbol" w:hAnsi="Symbol" w:cs="Symbol"/>
                <w:snapToGrid w:val="0"/>
                <w:sz w:val="20"/>
                <w:szCs w:val="20"/>
                <w:lang w:val="nl-NL" w:eastAsia="fr-FR"/>
              </w:rPr>
              <w:t>[</w:t>
            </w:r>
            <w:r w:rsidRPr="00DD1C21">
              <w:rPr>
                <w:snapToGrid w:val="0"/>
                <w:sz w:val="20"/>
                <w:szCs w:val="20"/>
                <w:lang w:val="nl-NL" w:eastAsia="fr-FR"/>
              </w:rPr>
              <w:t>in letters en in cijfers in EURO</w:t>
            </w:r>
            <w:r w:rsidRPr="00DD1C21">
              <w:rPr>
                <w:rFonts w:ascii="Symbol" w:eastAsia="Symbol" w:hAnsi="Symbol" w:cs="Symbol"/>
                <w:snapToGrid w:val="0"/>
                <w:sz w:val="20"/>
                <w:szCs w:val="20"/>
                <w:lang w:val="nl-NL" w:eastAsia="fr-FR"/>
              </w:rPr>
              <w:t>]</w:t>
            </w:r>
          </w:p>
        </w:tc>
      </w:tr>
    </w:tbl>
    <w:p w14:paraId="52095034" w14:textId="77777777" w:rsidR="00DD1C21" w:rsidRPr="00DD1C21" w:rsidRDefault="00DD1C21" w:rsidP="00DD1C21">
      <w:pPr>
        <w:snapToGrid w:val="0"/>
        <w:spacing w:line="360" w:lineRule="auto"/>
        <w:rPr>
          <w:rFonts w:cs="Arial"/>
          <w:sz w:val="20"/>
          <w:szCs w:val="20"/>
          <w:lang w:val="nl-NL"/>
        </w:rPr>
      </w:pPr>
    </w:p>
    <w:p w14:paraId="4A56B375" w14:textId="77777777" w:rsidR="00DD1C21" w:rsidRPr="00DD1C21" w:rsidRDefault="00DD1C21" w:rsidP="00DD1C21">
      <w:pPr>
        <w:snapToGrid w:val="0"/>
        <w:spacing w:line="360" w:lineRule="auto"/>
        <w:rPr>
          <w:rFonts w:cs="Arial"/>
          <w:sz w:val="20"/>
          <w:szCs w:val="20"/>
          <w:lang w:val="nl-NL"/>
        </w:rPr>
      </w:pPr>
      <w:r w:rsidRPr="00DD1C21">
        <w:rPr>
          <w:rFonts w:cs="Arial"/>
          <w:sz w:val="20"/>
          <w:szCs w:val="20"/>
          <w:lang w:val="nl-NL"/>
        </w:rPr>
        <w:t>waarbij de BTW dient te worden gevoegd voor een bedrag van:</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4A0" w:firstRow="1" w:lastRow="0" w:firstColumn="1" w:lastColumn="0" w:noHBand="0" w:noVBand="1"/>
      </w:tblPr>
      <w:tblGrid>
        <w:gridCol w:w="9211"/>
      </w:tblGrid>
      <w:tr w:rsidR="00DD1C21" w:rsidRPr="002B7D1F" w14:paraId="5FAA28B7" w14:textId="77777777">
        <w:tc>
          <w:tcPr>
            <w:tcW w:w="9211" w:type="dxa"/>
            <w:tcBorders>
              <w:top w:val="thickThinSmallGap" w:sz="24" w:space="0" w:color="auto"/>
              <w:left w:val="thickThinSmallGap" w:sz="24" w:space="0" w:color="auto"/>
              <w:bottom w:val="thinThickSmallGap" w:sz="24" w:space="0" w:color="auto"/>
              <w:right w:val="thinThickSmallGap" w:sz="24" w:space="0" w:color="auto"/>
            </w:tcBorders>
          </w:tcPr>
          <w:p w14:paraId="7B2F5DCD"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632E7A8E"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092087CF"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4006CB18"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r w:rsidRPr="00DD1C21">
              <w:rPr>
                <w:rFonts w:ascii="Symbol" w:eastAsia="Symbol" w:hAnsi="Symbol" w:cs="Symbol"/>
                <w:snapToGrid w:val="0"/>
                <w:sz w:val="20"/>
                <w:szCs w:val="20"/>
                <w:lang w:val="nl-NL" w:eastAsia="fr-FR"/>
              </w:rPr>
              <w:t>[</w:t>
            </w:r>
            <w:r w:rsidRPr="00DD1C21">
              <w:rPr>
                <w:snapToGrid w:val="0"/>
                <w:sz w:val="20"/>
                <w:szCs w:val="20"/>
                <w:lang w:val="nl-NL" w:eastAsia="fr-FR"/>
              </w:rPr>
              <w:t>in letters en in cijfers in EURO</w:t>
            </w:r>
            <w:r w:rsidRPr="00DD1C21">
              <w:rPr>
                <w:rFonts w:ascii="Symbol" w:eastAsia="Symbol" w:hAnsi="Symbol" w:cs="Symbol"/>
                <w:snapToGrid w:val="0"/>
                <w:sz w:val="20"/>
                <w:szCs w:val="20"/>
                <w:lang w:val="nl-NL" w:eastAsia="fr-FR"/>
              </w:rPr>
              <w:t>]</w:t>
            </w:r>
          </w:p>
        </w:tc>
      </w:tr>
    </w:tbl>
    <w:p w14:paraId="1DE8DBE2" w14:textId="77777777" w:rsidR="00DD1C21" w:rsidRPr="00DD1C21" w:rsidRDefault="00DD1C21" w:rsidP="00DD1C21">
      <w:pPr>
        <w:snapToGrid w:val="0"/>
        <w:spacing w:line="360" w:lineRule="auto"/>
        <w:rPr>
          <w:rFonts w:cs="Arial"/>
          <w:sz w:val="20"/>
          <w:szCs w:val="20"/>
          <w:lang w:val="nl-NL"/>
        </w:rPr>
      </w:pPr>
    </w:p>
    <w:p w14:paraId="09483A0E" w14:textId="77777777" w:rsidR="00DD1C21" w:rsidRPr="00DD1C21" w:rsidRDefault="00DD1C21" w:rsidP="00DD1C21">
      <w:pPr>
        <w:snapToGrid w:val="0"/>
        <w:spacing w:line="360" w:lineRule="auto"/>
        <w:rPr>
          <w:rFonts w:cs="Arial"/>
          <w:sz w:val="20"/>
          <w:szCs w:val="20"/>
          <w:lang w:val="nl-NL"/>
        </w:rPr>
      </w:pPr>
      <w:r w:rsidRPr="00DD1C21">
        <w:rPr>
          <w:rFonts w:cs="Arial"/>
          <w:sz w:val="20"/>
          <w:szCs w:val="20"/>
          <w:lang w:val="nl-NL"/>
        </w:rPr>
        <w:t>wat een globaal bedrag, inclusief BTW, geeft van:</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4A0" w:firstRow="1" w:lastRow="0" w:firstColumn="1" w:lastColumn="0" w:noHBand="0" w:noVBand="1"/>
      </w:tblPr>
      <w:tblGrid>
        <w:gridCol w:w="9211"/>
      </w:tblGrid>
      <w:tr w:rsidR="00DD1C21" w:rsidRPr="002B7D1F" w14:paraId="4D77AA36" w14:textId="77777777">
        <w:tc>
          <w:tcPr>
            <w:tcW w:w="9211" w:type="dxa"/>
            <w:tcBorders>
              <w:top w:val="thickThinSmallGap" w:sz="24" w:space="0" w:color="auto"/>
              <w:left w:val="thickThinSmallGap" w:sz="24" w:space="0" w:color="auto"/>
              <w:bottom w:val="thinThickSmallGap" w:sz="24" w:space="0" w:color="auto"/>
              <w:right w:val="thinThickSmallGap" w:sz="24" w:space="0" w:color="auto"/>
            </w:tcBorders>
          </w:tcPr>
          <w:p w14:paraId="32E7F378"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077407E8"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0960036F"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p>
          <w:p w14:paraId="43707CFC" w14:textId="77777777" w:rsidR="00DD1C21" w:rsidRPr="00DD1C21" w:rsidRDefault="00DD1C21" w:rsidP="00DD1C21">
            <w:pPr>
              <w:tabs>
                <w:tab w:val="center" w:pos="4513"/>
                <w:tab w:val="right" w:pos="9026"/>
              </w:tabs>
              <w:spacing w:after="0" w:line="360" w:lineRule="auto"/>
              <w:rPr>
                <w:snapToGrid w:val="0"/>
                <w:sz w:val="20"/>
                <w:szCs w:val="20"/>
                <w:lang w:val="nl-NL" w:eastAsia="fr-FR"/>
              </w:rPr>
            </w:pPr>
            <w:r w:rsidRPr="00DD1C21">
              <w:rPr>
                <w:rFonts w:ascii="Symbol" w:eastAsia="Symbol" w:hAnsi="Symbol" w:cs="Symbol"/>
                <w:snapToGrid w:val="0"/>
                <w:sz w:val="20"/>
                <w:szCs w:val="20"/>
                <w:lang w:val="nl-NL" w:eastAsia="fr-FR"/>
              </w:rPr>
              <w:t>[</w:t>
            </w:r>
            <w:r w:rsidRPr="00DD1C21">
              <w:rPr>
                <w:snapToGrid w:val="0"/>
                <w:sz w:val="20"/>
                <w:szCs w:val="20"/>
                <w:lang w:val="nl-NL" w:eastAsia="fr-FR"/>
              </w:rPr>
              <w:t>in letters en in cijfers in EURO</w:t>
            </w:r>
            <w:r w:rsidRPr="00DD1C21">
              <w:rPr>
                <w:rFonts w:ascii="Symbol" w:eastAsia="Symbol" w:hAnsi="Symbol" w:cs="Symbol"/>
                <w:snapToGrid w:val="0"/>
                <w:sz w:val="20"/>
                <w:szCs w:val="20"/>
                <w:lang w:val="nl-NL" w:eastAsia="fr-FR"/>
              </w:rPr>
              <w:t>]</w:t>
            </w:r>
          </w:p>
        </w:tc>
      </w:tr>
    </w:tbl>
    <w:p w14:paraId="0DBA2F68" w14:textId="77777777" w:rsidR="00DD1C21" w:rsidRPr="00DD1C21" w:rsidRDefault="00DD1C21" w:rsidP="00DD1C21">
      <w:pPr>
        <w:snapToGrid w:val="0"/>
        <w:spacing w:line="240" w:lineRule="auto"/>
        <w:jc w:val="both"/>
        <w:rPr>
          <w:rFonts w:cs="Arial"/>
          <w:sz w:val="20"/>
          <w:szCs w:val="20"/>
          <w:lang w:val="nl-NL"/>
        </w:rPr>
      </w:pPr>
      <w:r w:rsidRPr="00DD1C21">
        <w:rPr>
          <w:rFonts w:cs="Arial"/>
          <w:sz w:val="20"/>
          <w:szCs w:val="20"/>
          <w:lang w:val="nl-NL"/>
        </w:rPr>
        <w:t>In het geval deze offerte wordt goedgekeurd, zal de borgtocht worden gestort overeenkomstig de in het bestek gestelde voorwaarden en termijnen.</w:t>
      </w:r>
    </w:p>
    <w:p w14:paraId="3AB954C4" w14:textId="77777777" w:rsidR="00DD1C21" w:rsidRPr="00DD1C21" w:rsidRDefault="00DD1C21" w:rsidP="00DD1C21">
      <w:pPr>
        <w:snapToGrid w:val="0"/>
        <w:spacing w:line="240" w:lineRule="auto"/>
        <w:ind w:right="-1"/>
        <w:jc w:val="both"/>
        <w:rPr>
          <w:rFonts w:cs="Arial"/>
          <w:sz w:val="20"/>
          <w:szCs w:val="20"/>
          <w:lang w:val="nl-NL"/>
        </w:rPr>
      </w:pPr>
      <w:r w:rsidRPr="00DD1C21">
        <w:rPr>
          <w:rFonts w:cs="Arial"/>
          <w:sz w:val="20"/>
          <w:szCs w:val="20"/>
          <w:lang w:val="nl-NL"/>
        </w:rPr>
        <w:t>In de offerte is de vertrouwelijke informatie en/of de informatie die betrekking heeft op technische of commerciële geheimen duidelijk aangeduid.</w:t>
      </w:r>
    </w:p>
    <w:p w14:paraId="72F5C595" w14:textId="2081CEF3" w:rsidR="00DD1C21" w:rsidRPr="00DD1C21" w:rsidRDefault="00DD1C21" w:rsidP="00DD1C21">
      <w:pPr>
        <w:snapToGrid w:val="0"/>
        <w:spacing w:line="240" w:lineRule="auto"/>
        <w:ind w:right="-1"/>
        <w:jc w:val="both"/>
        <w:rPr>
          <w:rFonts w:cs="Arial"/>
          <w:sz w:val="20"/>
          <w:szCs w:val="20"/>
          <w:lang w:val="nl-NL"/>
        </w:rPr>
      </w:pPr>
      <w:r w:rsidRPr="00DD1C21">
        <w:rPr>
          <w:rFonts w:cs="Arial"/>
          <w:sz w:val="20"/>
          <w:szCs w:val="20"/>
          <w:lang w:val="nl-NL"/>
        </w:rPr>
        <w:lastRenderedPageBreak/>
        <w:t>Het betalingsorganisme van de aanbestedende overheid zal de verschuldigde sommen betalen door storting of overschrijving op</w:t>
      </w:r>
      <w:r w:rsidR="001F79B1">
        <w:rPr>
          <w:rFonts w:cs="Arial"/>
          <w:sz w:val="20"/>
          <w:szCs w:val="20"/>
          <w:lang w:val="nl-NL"/>
        </w:rPr>
        <w:t xml:space="preserve"> het rekeningnummer:</w:t>
      </w:r>
    </w:p>
    <w:tbl>
      <w:tblPr>
        <w:tblW w:w="0" w:type="auto"/>
        <w:tblLayout w:type="fixed"/>
        <w:tblCellMar>
          <w:left w:w="70" w:type="dxa"/>
          <w:right w:w="70" w:type="dxa"/>
        </w:tblCellMar>
        <w:tblLook w:val="04A0" w:firstRow="1" w:lastRow="0" w:firstColumn="1" w:lastColumn="0" w:noHBand="0" w:noVBand="1"/>
      </w:tblPr>
      <w:tblGrid>
        <w:gridCol w:w="2622"/>
        <w:gridCol w:w="6520"/>
      </w:tblGrid>
      <w:tr w:rsidR="00DD1C21" w:rsidRPr="00DD1C21" w14:paraId="52EA158B" w14:textId="77777777">
        <w:tc>
          <w:tcPr>
            <w:tcW w:w="2622" w:type="dxa"/>
          </w:tcPr>
          <w:p w14:paraId="5CB73BEE" w14:textId="70AF3D1F" w:rsidR="00DD1C21" w:rsidRPr="00DD1C21" w:rsidRDefault="00DD1C21" w:rsidP="001F79B1">
            <w:pPr>
              <w:snapToGrid w:val="0"/>
              <w:spacing w:line="360" w:lineRule="auto"/>
              <w:jc w:val="both"/>
              <w:rPr>
                <w:rFonts w:cs="Arial"/>
                <w:sz w:val="20"/>
                <w:szCs w:val="20"/>
                <w:lang w:val="nl-NL"/>
              </w:rPr>
            </w:pPr>
            <w:r w:rsidRPr="00DD1C21">
              <w:rPr>
                <w:rFonts w:cs="Arial"/>
                <w:sz w:val="20"/>
                <w:szCs w:val="20"/>
                <w:lang w:val="nl-NL"/>
              </w:rPr>
              <w:t>IBAN</w:t>
            </w:r>
          </w:p>
          <w:p w14:paraId="7C82F9BE" w14:textId="77777777" w:rsidR="00DD1C21" w:rsidRPr="00DD1C21" w:rsidRDefault="00DD1C21" w:rsidP="001F79B1">
            <w:pPr>
              <w:snapToGrid w:val="0"/>
              <w:spacing w:line="360" w:lineRule="auto"/>
              <w:jc w:val="both"/>
              <w:rPr>
                <w:rFonts w:cs="Arial"/>
                <w:sz w:val="20"/>
                <w:szCs w:val="20"/>
                <w:lang w:val="nl-NL"/>
              </w:rPr>
            </w:pPr>
            <w:r w:rsidRPr="00DD1C21">
              <w:rPr>
                <w:rFonts w:cs="Arial"/>
                <w:sz w:val="20"/>
                <w:szCs w:val="20"/>
                <w:lang w:val="nl-NL"/>
              </w:rPr>
              <w:t>BIC</w:t>
            </w:r>
          </w:p>
        </w:tc>
        <w:tc>
          <w:tcPr>
            <w:tcW w:w="6520" w:type="dxa"/>
            <w:tcBorders>
              <w:top w:val="single" w:sz="6" w:space="0" w:color="auto"/>
              <w:left w:val="single" w:sz="6" w:space="0" w:color="auto"/>
              <w:bottom w:val="single" w:sz="6" w:space="0" w:color="auto"/>
              <w:right w:val="single" w:sz="6" w:space="0" w:color="auto"/>
            </w:tcBorders>
          </w:tcPr>
          <w:p w14:paraId="47B3D786" w14:textId="77777777" w:rsidR="00DD1C21" w:rsidRPr="00DD1C21" w:rsidRDefault="00DD1C21" w:rsidP="00DD1C21">
            <w:pPr>
              <w:snapToGrid w:val="0"/>
              <w:spacing w:line="360" w:lineRule="auto"/>
              <w:rPr>
                <w:rFonts w:cs="Arial"/>
                <w:sz w:val="20"/>
                <w:szCs w:val="20"/>
                <w:lang w:val="nl-NL"/>
              </w:rPr>
            </w:pPr>
          </w:p>
          <w:p w14:paraId="595FFFED" w14:textId="77777777" w:rsidR="00DD1C21" w:rsidRPr="00DD1C21" w:rsidRDefault="00DD1C21" w:rsidP="00DD1C21">
            <w:pPr>
              <w:snapToGrid w:val="0"/>
              <w:spacing w:line="360" w:lineRule="auto"/>
              <w:rPr>
                <w:rFonts w:cs="Arial"/>
                <w:sz w:val="20"/>
                <w:szCs w:val="20"/>
                <w:lang w:val="nl-NL"/>
              </w:rPr>
            </w:pPr>
          </w:p>
        </w:tc>
      </w:tr>
    </w:tbl>
    <w:p w14:paraId="7949454B" w14:textId="77777777" w:rsidR="00DD1C21" w:rsidRPr="00DD1C21" w:rsidRDefault="00DD1C21" w:rsidP="00DD1C21">
      <w:pPr>
        <w:snapToGrid w:val="0"/>
        <w:spacing w:line="360" w:lineRule="auto"/>
        <w:ind w:right="-1"/>
        <w:rPr>
          <w:rFonts w:cs="Arial"/>
          <w:sz w:val="20"/>
          <w:szCs w:val="20"/>
          <w:lang w:val="nl-NL"/>
        </w:rPr>
      </w:pPr>
    </w:p>
    <w:tbl>
      <w:tblPr>
        <w:tblW w:w="0" w:type="auto"/>
        <w:tblLayout w:type="fixed"/>
        <w:tblCellMar>
          <w:left w:w="71" w:type="dxa"/>
          <w:right w:w="71" w:type="dxa"/>
        </w:tblCellMar>
        <w:tblLook w:val="04A0" w:firstRow="1" w:lastRow="0" w:firstColumn="1" w:lastColumn="0" w:noHBand="0" w:noVBand="1"/>
      </w:tblPr>
      <w:tblGrid>
        <w:gridCol w:w="2623"/>
        <w:gridCol w:w="2693"/>
        <w:gridCol w:w="3827"/>
      </w:tblGrid>
      <w:tr w:rsidR="00DD1C21" w:rsidRPr="002B7D1F" w14:paraId="51A8F276" w14:textId="77777777">
        <w:trPr>
          <w:trHeight w:val="320"/>
        </w:trPr>
        <w:tc>
          <w:tcPr>
            <w:tcW w:w="2623" w:type="dxa"/>
            <w:hideMark/>
          </w:tcPr>
          <w:p w14:paraId="0AF4393F" w14:textId="77777777" w:rsidR="00DD1C21" w:rsidRPr="00DD1C21" w:rsidRDefault="00DD1C21" w:rsidP="001F79B1">
            <w:pPr>
              <w:snapToGrid w:val="0"/>
              <w:spacing w:line="360" w:lineRule="auto"/>
              <w:jc w:val="both"/>
              <w:rPr>
                <w:rFonts w:cs="Arial"/>
                <w:sz w:val="20"/>
                <w:szCs w:val="20"/>
                <w:lang w:val="nl-NL"/>
              </w:rPr>
            </w:pPr>
            <w:r w:rsidRPr="00DD1C21">
              <w:rPr>
                <w:rFonts w:cs="Arial"/>
                <w:sz w:val="20"/>
                <w:szCs w:val="20"/>
                <w:lang w:val="nl-NL"/>
              </w:rPr>
              <w:t xml:space="preserve">Er wordt gekozen voor de </w:t>
            </w:r>
          </w:p>
        </w:tc>
        <w:tc>
          <w:tcPr>
            <w:tcW w:w="2693" w:type="dxa"/>
            <w:tcBorders>
              <w:top w:val="single" w:sz="6" w:space="0" w:color="auto"/>
              <w:left w:val="single" w:sz="6" w:space="0" w:color="auto"/>
              <w:bottom w:val="single" w:sz="6" w:space="0" w:color="auto"/>
              <w:right w:val="single" w:sz="6" w:space="0" w:color="auto"/>
            </w:tcBorders>
          </w:tcPr>
          <w:p w14:paraId="5644E80C" w14:textId="77777777" w:rsidR="00DD1C21" w:rsidRPr="00DD1C21" w:rsidRDefault="00DD1C21" w:rsidP="00DD1C21">
            <w:pPr>
              <w:snapToGrid w:val="0"/>
              <w:spacing w:line="360" w:lineRule="auto"/>
              <w:rPr>
                <w:rFonts w:cs="Arial"/>
                <w:sz w:val="20"/>
                <w:szCs w:val="20"/>
                <w:lang w:val="nl-NL"/>
              </w:rPr>
            </w:pPr>
            <w:r w:rsidRPr="00DD1C21">
              <w:rPr>
                <w:rFonts w:cs="Arial"/>
                <w:sz w:val="20"/>
                <w:szCs w:val="20"/>
                <w:lang w:val="nl-NL"/>
              </w:rPr>
              <w:t>Nederlandse / Franse</w:t>
            </w:r>
            <w:r w:rsidRPr="00DD1C21">
              <w:rPr>
                <w:rFonts w:cs="Arial"/>
                <w:sz w:val="20"/>
                <w:szCs w:val="20"/>
                <w:vertAlign w:val="superscript"/>
                <w:lang w:val="nl-NL"/>
              </w:rPr>
              <w:footnoteReference w:id="10"/>
            </w:r>
          </w:p>
        </w:tc>
        <w:tc>
          <w:tcPr>
            <w:tcW w:w="3827" w:type="dxa"/>
            <w:hideMark/>
          </w:tcPr>
          <w:p w14:paraId="2C86FD1C" w14:textId="10DBBD2D" w:rsidR="00DD1C21" w:rsidRPr="00DD1C21" w:rsidRDefault="00DD1C21" w:rsidP="001F79B1">
            <w:pPr>
              <w:snapToGrid w:val="0"/>
              <w:spacing w:line="240" w:lineRule="auto"/>
              <w:ind w:left="72" w:hanging="72"/>
              <w:jc w:val="both"/>
              <w:rPr>
                <w:rFonts w:cs="Arial"/>
                <w:sz w:val="20"/>
                <w:szCs w:val="20"/>
                <w:lang w:val="nl-NL"/>
              </w:rPr>
            </w:pPr>
            <w:r w:rsidRPr="00DD1C21">
              <w:rPr>
                <w:rFonts w:cs="Arial"/>
                <w:sz w:val="20"/>
                <w:szCs w:val="20"/>
                <w:lang w:val="nl-NL"/>
              </w:rPr>
              <w:t>taal voor de interpretatie van het  contract.</w:t>
            </w:r>
          </w:p>
        </w:tc>
      </w:tr>
    </w:tbl>
    <w:p w14:paraId="596A8A28" w14:textId="77777777" w:rsidR="00DD1C21" w:rsidRPr="00DD1C21" w:rsidRDefault="00DD1C21" w:rsidP="00DD1C21">
      <w:pPr>
        <w:snapToGrid w:val="0"/>
        <w:spacing w:line="360" w:lineRule="auto"/>
        <w:ind w:right="-1"/>
        <w:rPr>
          <w:rFonts w:cs="Arial"/>
          <w:sz w:val="20"/>
          <w:szCs w:val="20"/>
          <w:lang w:val="nl-NL"/>
        </w:rPr>
      </w:pPr>
    </w:p>
    <w:p w14:paraId="674312F2" w14:textId="77777777" w:rsidR="00DD1C21" w:rsidRPr="00DD1C21" w:rsidRDefault="00DD1C21" w:rsidP="001F79B1">
      <w:pPr>
        <w:snapToGrid w:val="0"/>
        <w:spacing w:line="360" w:lineRule="auto"/>
        <w:ind w:right="-1"/>
        <w:jc w:val="both"/>
        <w:rPr>
          <w:rFonts w:cs="Arial"/>
          <w:sz w:val="20"/>
          <w:szCs w:val="20"/>
          <w:lang w:val="nl-NL"/>
        </w:rPr>
      </w:pPr>
      <w:r w:rsidRPr="00DD1C21">
        <w:rPr>
          <w:rFonts w:cs="Arial"/>
          <w:sz w:val="20"/>
          <w:szCs w:val="20"/>
          <w:lang w:val="nl-NL"/>
        </w:rPr>
        <w:t>Alle briefwisseling betreffende de uitvoering van de opdracht moet worden gestuurd naar:</w:t>
      </w:r>
    </w:p>
    <w:tbl>
      <w:tblPr>
        <w:tblW w:w="0" w:type="auto"/>
        <w:tblLayout w:type="fixed"/>
        <w:tblCellMar>
          <w:left w:w="70" w:type="dxa"/>
          <w:right w:w="70" w:type="dxa"/>
        </w:tblCellMar>
        <w:tblLook w:val="04A0" w:firstRow="1" w:lastRow="0" w:firstColumn="1" w:lastColumn="0" w:noHBand="0" w:noVBand="1"/>
      </w:tblPr>
      <w:tblGrid>
        <w:gridCol w:w="9211"/>
      </w:tblGrid>
      <w:tr w:rsidR="00DD1C21" w:rsidRPr="00DD1C21" w14:paraId="2577CFDC" w14:textId="77777777">
        <w:tc>
          <w:tcPr>
            <w:tcW w:w="9211" w:type="dxa"/>
            <w:tcBorders>
              <w:top w:val="single" w:sz="6" w:space="0" w:color="auto"/>
              <w:left w:val="single" w:sz="6" w:space="0" w:color="auto"/>
              <w:bottom w:val="single" w:sz="6" w:space="0" w:color="auto"/>
              <w:right w:val="single" w:sz="6" w:space="0" w:color="auto"/>
            </w:tcBorders>
          </w:tcPr>
          <w:p w14:paraId="133AB5C5" w14:textId="77777777" w:rsidR="00DD1C21" w:rsidRPr="00DD1C21" w:rsidRDefault="00DD1C21" w:rsidP="00DD1C21">
            <w:pPr>
              <w:snapToGrid w:val="0"/>
              <w:spacing w:line="360" w:lineRule="auto"/>
              <w:jc w:val="right"/>
              <w:rPr>
                <w:rFonts w:cs="Arial"/>
                <w:sz w:val="20"/>
                <w:szCs w:val="20"/>
                <w:lang w:val="nl-NL"/>
              </w:rPr>
            </w:pPr>
          </w:p>
          <w:p w14:paraId="382A19F7" w14:textId="7BD46F95"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(straat)</w:t>
            </w:r>
          </w:p>
          <w:p w14:paraId="34D33C44" w14:textId="4A7DBFD5"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(postnr. en gemeente)</w:t>
            </w:r>
          </w:p>
          <w:p w14:paraId="104796FB" w14:textId="3A177D8F" w:rsidR="00DD1C21" w:rsidRPr="00DD1C21" w:rsidRDefault="00DD1C21" w:rsidP="002E704D">
            <w:pPr>
              <w:snapToGrid w:val="0"/>
              <w:spacing w:line="360" w:lineRule="auto"/>
              <w:jc w:val="right"/>
              <w:rPr>
                <w:rFonts w:cs="Arial"/>
                <w:sz w:val="20"/>
                <w:szCs w:val="20"/>
                <w:lang w:val="de-DE"/>
              </w:rPr>
            </w:pPr>
            <w:r w:rsidRPr="00DD1C21">
              <w:rPr>
                <w:rFonts w:cs="Arial"/>
                <w:sz w:val="20"/>
                <w:szCs w:val="20"/>
                <w:lang w:val="de-DE"/>
              </w:rPr>
              <w:t>(</w:t>
            </w:r>
            <w:r w:rsidRPr="00DD1C21">
              <w:rPr>
                <w:rFonts w:ascii="Wingdings" w:eastAsia="Wingdings" w:hAnsi="Wingdings" w:cs="Wingdings"/>
                <w:sz w:val="20"/>
                <w:szCs w:val="20"/>
                <w:lang w:val="nl-NL"/>
              </w:rPr>
              <w:t>)</w:t>
            </w:r>
            <w:r w:rsidRPr="00DD1C21">
              <w:rPr>
                <w:rFonts w:cs="Arial"/>
                <w:sz w:val="20"/>
                <w:szCs w:val="20"/>
                <w:lang w:val="de-DE"/>
              </w:rPr>
              <w:t xml:space="preserve"> en </w:t>
            </w:r>
            <w:r w:rsidRPr="00DD1C21">
              <w:rPr>
                <w:rFonts w:ascii="CaslonOpnface BT" w:eastAsia="CaslonOpnface BT" w:hAnsi="CaslonOpnface BT" w:cs="CaslonOpnface BT"/>
                <w:sz w:val="20"/>
                <w:szCs w:val="20"/>
                <w:lang w:val="de-DE"/>
              </w:rPr>
              <w:t>F</w:t>
            </w:r>
            <w:r w:rsidRPr="00DD1C21">
              <w:rPr>
                <w:rFonts w:cs="Arial"/>
                <w:sz w:val="20"/>
                <w:szCs w:val="20"/>
                <w:lang w:val="de-DE"/>
              </w:rPr>
              <w:t>-nummer)</w:t>
            </w:r>
            <w:r w:rsidRPr="00DD1C21">
              <w:rPr>
                <w:rFonts w:cs="Arial"/>
                <w:sz w:val="20"/>
                <w:szCs w:val="20"/>
                <w:lang w:val="de-DE"/>
              </w:rPr>
              <w:br/>
            </w:r>
            <w:r w:rsidRPr="00DD1C21">
              <w:rPr>
                <w:rFonts w:cs="Arial"/>
                <w:sz w:val="20"/>
                <w:szCs w:val="20"/>
                <w:lang w:val="de-DE"/>
              </w:rPr>
              <w:br/>
              <w:t xml:space="preserve">(e-mailadres) </w:t>
            </w:r>
          </w:p>
        </w:tc>
      </w:tr>
    </w:tbl>
    <w:p w14:paraId="006DF900" w14:textId="77777777" w:rsidR="00DD1C21" w:rsidRPr="00DD1C21" w:rsidRDefault="00DD1C21" w:rsidP="00DD1C21">
      <w:pPr>
        <w:snapToGrid w:val="0"/>
        <w:spacing w:line="360" w:lineRule="auto"/>
        <w:ind w:right="-1"/>
        <w:rPr>
          <w:rFonts w:cs="Arial"/>
          <w:sz w:val="20"/>
          <w:szCs w:val="20"/>
          <w:lang w:val="de-DE"/>
        </w:rPr>
      </w:pPr>
    </w:p>
    <w:tbl>
      <w:tblPr>
        <w:tblW w:w="0" w:type="auto"/>
        <w:tblLayout w:type="fixed"/>
        <w:tblCellMar>
          <w:left w:w="70" w:type="dxa"/>
          <w:right w:w="70" w:type="dxa"/>
        </w:tblCellMar>
        <w:tblLook w:val="04A0" w:firstRow="1" w:lastRow="0" w:firstColumn="1" w:lastColumn="0" w:noHBand="0" w:noVBand="1"/>
      </w:tblPr>
      <w:tblGrid>
        <w:gridCol w:w="1204"/>
        <w:gridCol w:w="3828"/>
        <w:gridCol w:w="160"/>
        <w:gridCol w:w="4092"/>
      </w:tblGrid>
      <w:tr w:rsidR="00DD1C21" w:rsidRPr="00DD1C21" w14:paraId="5F4A269E" w14:textId="77777777">
        <w:tc>
          <w:tcPr>
            <w:tcW w:w="1204" w:type="dxa"/>
            <w:hideMark/>
          </w:tcPr>
          <w:p w14:paraId="15F632D2" w14:textId="77777777" w:rsidR="00DD1C21" w:rsidRPr="00DD1C21" w:rsidRDefault="00DD1C21" w:rsidP="002E704D">
            <w:pPr>
              <w:snapToGrid w:val="0"/>
              <w:spacing w:line="360" w:lineRule="auto"/>
              <w:jc w:val="both"/>
              <w:rPr>
                <w:rFonts w:cs="Arial"/>
                <w:sz w:val="20"/>
                <w:szCs w:val="20"/>
                <w:lang w:val="nl-NL"/>
              </w:rPr>
            </w:pPr>
            <w:r w:rsidRPr="00DD1C21">
              <w:rPr>
                <w:rFonts w:cs="Arial"/>
                <w:sz w:val="20"/>
                <w:szCs w:val="20"/>
                <w:lang w:val="nl-NL"/>
              </w:rPr>
              <w:t xml:space="preserve">Gedaan: </w:t>
            </w:r>
          </w:p>
        </w:tc>
        <w:tc>
          <w:tcPr>
            <w:tcW w:w="3828" w:type="dxa"/>
            <w:tcBorders>
              <w:top w:val="single" w:sz="6" w:space="0" w:color="auto"/>
              <w:left w:val="single" w:sz="6" w:space="0" w:color="auto"/>
              <w:bottom w:val="single" w:sz="6" w:space="0" w:color="auto"/>
              <w:right w:val="nil"/>
            </w:tcBorders>
            <w:hideMark/>
          </w:tcPr>
          <w:p w14:paraId="21085026" w14:textId="77777777" w:rsidR="00DD1C21" w:rsidRPr="00DD1C21" w:rsidRDefault="00DD1C21" w:rsidP="002E704D">
            <w:pPr>
              <w:snapToGrid w:val="0"/>
              <w:spacing w:line="360" w:lineRule="auto"/>
              <w:jc w:val="both"/>
              <w:rPr>
                <w:rFonts w:cs="Arial"/>
                <w:sz w:val="20"/>
                <w:szCs w:val="20"/>
                <w:lang w:val="nl-NL"/>
              </w:rPr>
            </w:pPr>
            <w:r w:rsidRPr="00DD1C21">
              <w:rPr>
                <w:rFonts w:cs="Arial"/>
                <w:sz w:val="20"/>
                <w:szCs w:val="20"/>
                <w:lang w:val="nl-NL"/>
              </w:rPr>
              <w:t>Te</w:t>
            </w:r>
          </w:p>
          <w:p w14:paraId="56F78713" w14:textId="77777777" w:rsidR="00DD1C21" w:rsidRPr="00DD1C21" w:rsidRDefault="00DD1C21" w:rsidP="00DD1C21">
            <w:pPr>
              <w:snapToGrid w:val="0"/>
              <w:spacing w:line="360" w:lineRule="auto"/>
              <w:rPr>
                <w:rFonts w:cs="Arial"/>
                <w:sz w:val="20"/>
                <w:szCs w:val="20"/>
                <w:lang w:val="nl-NL"/>
              </w:rPr>
            </w:pPr>
          </w:p>
          <w:p w14:paraId="7105CE1C" w14:textId="77777777" w:rsidR="00DD1C21" w:rsidRPr="00DD1C21" w:rsidRDefault="00DD1C21" w:rsidP="00DD1C21">
            <w:pPr>
              <w:snapToGrid w:val="0"/>
              <w:spacing w:line="360" w:lineRule="auto"/>
              <w:rPr>
                <w:rFonts w:cs="Arial"/>
                <w:sz w:val="20"/>
                <w:szCs w:val="20"/>
                <w:lang w:val="nl-NL"/>
              </w:rPr>
            </w:pPr>
          </w:p>
        </w:tc>
        <w:tc>
          <w:tcPr>
            <w:tcW w:w="160" w:type="dxa"/>
            <w:tcBorders>
              <w:top w:val="nil"/>
              <w:left w:val="single" w:sz="6" w:space="0" w:color="auto"/>
              <w:bottom w:val="nil"/>
              <w:right w:val="single" w:sz="6" w:space="0" w:color="auto"/>
            </w:tcBorders>
          </w:tcPr>
          <w:p w14:paraId="06C10767" w14:textId="77777777" w:rsidR="00DD1C21" w:rsidRPr="00DD1C21" w:rsidRDefault="00DD1C21" w:rsidP="00DD1C21">
            <w:pPr>
              <w:snapToGrid w:val="0"/>
              <w:spacing w:line="360" w:lineRule="auto"/>
              <w:rPr>
                <w:rFonts w:cs="Arial"/>
                <w:sz w:val="20"/>
                <w:szCs w:val="20"/>
                <w:lang w:val="nl-NL"/>
              </w:rPr>
            </w:pPr>
          </w:p>
        </w:tc>
        <w:tc>
          <w:tcPr>
            <w:tcW w:w="4092" w:type="dxa"/>
            <w:tcBorders>
              <w:top w:val="single" w:sz="6" w:space="0" w:color="auto"/>
              <w:left w:val="single" w:sz="6" w:space="0" w:color="auto"/>
              <w:bottom w:val="single" w:sz="6" w:space="0" w:color="auto"/>
              <w:right w:val="single" w:sz="6" w:space="0" w:color="auto"/>
            </w:tcBorders>
            <w:hideMark/>
          </w:tcPr>
          <w:p w14:paraId="3645BE61" w14:textId="77777777" w:rsidR="00DD1C21" w:rsidRPr="00DD1C21" w:rsidRDefault="00DD1C21" w:rsidP="002E704D">
            <w:pPr>
              <w:snapToGrid w:val="0"/>
              <w:spacing w:line="360" w:lineRule="auto"/>
              <w:jc w:val="both"/>
              <w:rPr>
                <w:rFonts w:cs="Arial"/>
                <w:sz w:val="20"/>
                <w:szCs w:val="20"/>
                <w:lang w:val="nl-NL"/>
              </w:rPr>
            </w:pPr>
            <w:r w:rsidRPr="00DD1C21">
              <w:rPr>
                <w:rFonts w:cs="Arial"/>
                <w:sz w:val="20"/>
                <w:szCs w:val="20"/>
                <w:lang w:val="nl-NL"/>
              </w:rPr>
              <w:t xml:space="preserve">op                                                  </w:t>
            </w:r>
          </w:p>
          <w:p w14:paraId="2CA55F6A" w14:textId="77777777" w:rsidR="00DD1C21" w:rsidRPr="00DD1C21" w:rsidRDefault="00DD1C21" w:rsidP="00DD1C21">
            <w:pPr>
              <w:snapToGrid w:val="0"/>
              <w:spacing w:line="360" w:lineRule="auto"/>
              <w:rPr>
                <w:rFonts w:cs="Arial"/>
                <w:sz w:val="20"/>
                <w:szCs w:val="20"/>
                <w:lang w:val="nl-NL"/>
              </w:rPr>
            </w:pPr>
          </w:p>
        </w:tc>
      </w:tr>
    </w:tbl>
    <w:p w14:paraId="3AB875AF" w14:textId="77777777" w:rsidR="00DD1C21" w:rsidRPr="00DD1C21" w:rsidRDefault="00DD1C21" w:rsidP="00DD1C21">
      <w:pPr>
        <w:snapToGrid w:val="0"/>
        <w:spacing w:line="360" w:lineRule="auto"/>
        <w:ind w:right="-1"/>
        <w:rPr>
          <w:rFonts w:cs="Arial"/>
          <w:sz w:val="20"/>
          <w:szCs w:val="20"/>
          <w:lang w:val="nl-NL"/>
        </w:rPr>
      </w:pPr>
    </w:p>
    <w:p w14:paraId="51877ED5" w14:textId="77777777" w:rsidR="00DD1C21" w:rsidRPr="00DD1C21" w:rsidRDefault="00DD1C21" w:rsidP="002E704D">
      <w:pPr>
        <w:snapToGrid w:val="0"/>
        <w:spacing w:line="360" w:lineRule="auto"/>
        <w:ind w:right="-1"/>
        <w:jc w:val="both"/>
        <w:rPr>
          <w:rFonts w:cs="Arial"/>
          <w:sz w:val="20"/>
          <w:szCs w:val="20"/>
          <w:lang w:val="nl-NL"/>
        </w:rPr>
      </w:pPr>
      <w:r w:rsidRPr="00DD1C21">
        <w:rPr>
          <w:rFonts w:cs="Arial"/>
          <w:sz w:val="20"/>
          <w:szCs w:val="20"/>
          <w:lang w:val="nl-NL"/>
        </w:rPr>
        <w:t>De inschrijver of gevolmachtigde:</w:t>
      </w:r>
    </w:p>
    <w:tbl>
      <w:tblPr>
        <w:tblW w:w="8080" w:type="dxa"/>
        <w:tblInd w:w="1205" w:type="dxa"/>
        <w:tblLayout w:type="fixed"/>
        <w:tblCellMar>
          <w:left w:w="71" w:type="dxa"/>
          <w:right w:w="71" w:type="dxa"/>
        </w:tblCellMar>
        <w:tblLook w:val="04A0" w:firstRow="1" w:lastRow="0" w:firstColumn="1" w:lastColumn="0" w:noHBand="0" w:noVBand="1"/>
      </w:tblPr>
      <w:tblGrid>
        <w:gridCol w:w="8080"/>
      </w:tblGrid>
      <w:tr w:rsidR="00DD1C21" w:rsidRPr="00DD1C21" w14:paraId="7A25DB15" w14:textId="77777777">
        <w:trPr>
          <w:trHeight w:val="1367"/>
        </w:trPr>
        <w:tc>
          <w:tcPr>
            <w:tcW w:w="8080" w:type="dxa"/>
            <w:tcBorders>
              <w:top w:val="single" w:sz="6" w:space="0" w:color="auto"/>
              <w:left w:val="single" w:sz="6" w:space="0" w:color="auto"/>
              <w:bottom w:val="single" w:sz="6" w:space="0" w:color="auto"/>
              <w:right w:val="single" w:sz="6" w:space="0" w:color="auto"/>
            </w:tcBorders>
            <w:hideMark/>
          </w:tcPr>
          <w:p w14:paraId="56199D6D" w14:textId="77777777" w:rsidR="00DD1C21" w:rsidRPr="00DD1C21" w:rsidRDefault="00DD1C21" w:rsidP="002E704D">
            <w:pPr>
              <w:snapToGrid w:val="0"/>
              <w:spacing w:line="360" w:lineRule="auto"/>
              <w:jc w:val="both"/>
              <w:rPr>
                <w:rFonts w:cs="Arial"/>
                <w:sz w:val="20"/>
                <w:szCs w:val="20"/>
                <w:lang w:val="nl-NL"/>
              </w:rPr>
            </w:pPr>
          </w:p>
          <w:p w14:paraId="6F49B745" w14:textId="256F93D8"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(naam)</w:t>
            </w:r>
          </w:p>
          <w:p w14:paraId="3FDEEE28" w14:textId="725E3E11"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(functie)</w:t>
            </w:r>
          </w:p>
          <w:p w14:paraId="1172BF69" w14:textId="2C99A38B"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(handtekening)</w:t>
            </w:r>
          </w:p>
        </w:tc>
      </w:tr>
    </w:tbl>
    <w:p w14:paraId="7798B617" w14:textId="77777777" w:rsidR="00DD1C21" w:rsidRPr="00DD1C21" w:rsidRDefault="00DD1C21" w:rsidP="002E704D">
      <w:pPr>
        <w:snapToGrid w:val="0"/>
        <w:spacing w:line="360" w:lineRule="auto"/>
        <w:jc w:val="both"/>
        <w:rPr>
          <w:rFonts w:cs="Arial"/>
          <w:sz w:val="20"/>
          <w:szCs w:val="20"/>
          <w:lang w:val="nl-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DD1C21" w:rsidRPr="002B7D1F" w14:paraId="0DC24780" w14:textId="77777777">
        <w:tc>
          <w:tcPr>
            <w:tcW w:w="9284" w:type="dxa"/>
            <w:tcBorders>
              <w:top w:val="single" w:sz="4" w:space="0" w:color="auto"/>
              <w:left w:val="single" w:sz="4" w:space="0" w:color="auto"/>
              <w:bottom w:val="single" w:sz="4" w:space="0" w:color="auto"/>
              <w:right w:val="single" w:sz="4" w:space="0" w:color="auto"/>
            </w:tcBorders>
          </w:tcPr>
          <w:p w14:paraId="388E8ED6" w14:textId="77777777" w:rsidR="00DD1C21" w:rsidRPr="00DD1C21" w:rsidRDefault="00DD1C21" w:rsidP="00DD1C21">
            <w:pPr>
              <w:snapToGrid w:val="0"/>
              <w:spacing w:line="360" w:lineRule="auto"/>
              <w:rPr>
                <w:rFonts w:cs="Arial"/>
                <w:sz w:val="20"/>
                <w:szCs w:val="20"/>
                <w:lang w:val="nl-NL"/>
              </w:rPr>
            </w:pPr>
          </w:p>
          <w:p w14:paraId="500A7298" w14:textId="77777777" w:rsidR="00DD1C21" w:rsidRPr="00DD1C21" w:rsidRDefault="00DD1C21" w:rsidP="00DD1C21">
            <w:pPr>
              <w:snapToGrid w:val="0"/>
              <w:spacing w:line="240" w:lineRule="auto"/>
              <w:rPr>
                <w:rFonts w:cs="Arial"/>
                <w:sz w:val="20"/>
                <w:szCs w:val="20"/>
                <w:lang w:val="nl-NL"/>
              </w:rPr>
            </w:pPr>
            <w:r w:rsidRPr="00DD1C21">
              <w:rPr>
                <w:rFonts w:cs="Arial"/>
                <w:sz w:val="20"/>
                <w:szCs w:val="20"/>
                <w:lang w:val="nl-NL"/>
              </w:rPr>
              <w:lastRenderedPageBreak/>
              <w:t>GOEDGEKEURD,</w:t>
            </w:r>
            <w:r w:rsidRPr="00DD1C21">
              <w:rPr>
                <w:rFonts w:cs="Arial"/>
                <w:sz w:val="20"/>
                <w:szCs w:val="20"/>
                <w:lang w:val="nl-NL"/>
              </w:rPr>
              <w:br/>
            </w:r>
            <w:r w:rsidRPr="00DD1C21">
              <w:rPr>
                <w:sz w:val="20"/>
                <w:szCs w:val="20"/>
                <w:lang w:val="nl-NL"/>
              </w:rPr>
              <w:t>1000 Brussel</w:t>
            </w:r>
            <w:r w:rsidRPr="00DD1C21">
              <w:rPr>
                <w:rFonts w:cs="Arial"/>
                <w:sz w:val="20"/>
                <w:szCs w:val="20"/>
                <w:lang w:val="nl-NL"/>
              </w:rPr>
              <w:t>,</w:t>
            </w:r>
          </w:p>
          <w:p w14:paraId="3BDB1CAB" w14:textId="77777777" w:rsidR="00DD1C21" w:rsidRPr="00DD1C21" w:rsidRDefault="00DD1C21" w:rsidP="00DD1C21">
            <w:pPr>
              <w:snapToGrid w:val="0"/>
              <w:spacing w:line="360" w:lineRule="auto"/>
              <w:rPr>
                <w:rFonts w:cs="Arial"/>
                <w:sz w:val="20"/>
                <w:szCs w:val="20"/>
                <w:lang w:val="nl-NL"/>
              </w:rPr>
            </w:pPr>
          </w:p>
          <w:p w14:paraId="5FE791BA" w14:textId="77777777" w:rsidR="00DD1C21" w:rsidRPr="00DD1C21" w:rsidRDefault="00DD1C21" w:rsidP="00DD1C21">
            <w:pPr>
              <w:snapToGrid w:val="0"/>
              <w:spacing w:line="360" w:lineRule="auto"/>
              <w:rPr>
                <w:rFonts w:cs="Arial"/>
                <w:sz w:val="20"/>
                <w:szCs w:val="20"/>
                <w:lang w:val="nl-NL"/>
              </w:rPr>
            </w:pPr>
          </w:p>
          <w:p w14:paraId="51CE82F5" w14:textId="77777777" w:rsidR="00DD1C21" w:rsidRPr="00DD1C21" w:rsidRDefault="00DD1C21" w:rsidP="00DD1C21">
            <w:pPr>
              <w:snapToGrid w:val="0"/>
              <w:spacing w:line="360" w:lineRule="auto"/>
              <w:rPr>
                <w:rFonts w:cs="Arial"/>
                <w:sz w:val="20"/>
                <w:szCs w:val="20"/>
                <w:lang w:val="nl-NL"/>
              </w:rPr>
            </w:pPr>
          </w:p>
          <w:p w14:paraId="7A82CA8A" w14:textId="77777777" w:rsidR="00DD1C21" w:rsidRPr="00DD1C21" w:rsidRDefault="00DD1C21" w:rsidP="00DD1C21">
            <w:pPr>
              <w:snapToGrid w:val="0"/>
              <w:spacing w:line="360" w:lineRule="auto"/>
              <w:rPr>
                <w:rFonts w:cs="Arial"/>
                <w:sz w:val="20"/>
                <w:szCs w:val="20"/>
                <w:lang w:val="nl-NL"/>
              </w:rPr>
            </w:pPr>
          </w:p>
          <w:p w14:paraId="06A112A9" w14:textId="77777777" w:rsidR="00DD1C21" w:rsidRPr="00DD1C21" w:rsidRDefault="00DD1C21" w:rsidP="00DD1C21">
            <w:pPr>
              <w:snapToGrid w:val="0"/>
              <w:spacing w:line="360" w:lineRule="auto"/>
              <w:rPr>
                <w:rFonts w:cs="Arial"/>
                <w:sz w:val="20"/>
                <w:szCs w:val="20"/>
                <w:lang w:val="nl-NL"/>
              </w:rPr>
            </w:pPr>
          </w:p>
          <w:p w14:paraId="6C55A10D" w14:textId="77777777" w:rsidR="00DD1C21" w:rsidRPr="00DD1C21" w:rsidRDefault="00DD1C21" w:rsidP="00DD1C21">
            <w:pPr>
              <w:snapToGrid w:val="0"/>
              <w:spacing w:line="360" w:lineRule="auto"/>
              <w:rPr>
                <w:rFonts w:cs="Arial"/>
                <w:sz w:val="20"/>
                <w:szCs w:val="20"/>
                <w:lang w:val="nl-NL"/>
              </w:rPr>
            </w:pPr>
            <w:r w:rsidRPr="00DD1C21">
              <w:rPr>
                <w:sz w:val="20"/>
                <w:szCs w:val="20"/>
                <w:lang w:val="nl-NL"/>
              </w:rPr>
              <w:t>Cécilia De Decker</w:t>
            </w:r>
            <w:r w:rsidRPr="00DD1C21">
              <w:rPr>
                <w:rFonts w:cs="Arial"/>
                <w:sz w:val="20"/>
                <w:szCs w:val="20"/>
                <w:lang w:val="nl-NL"/>
              </w:rPr>
              <w:t xml:space="preserve"> </w:t>
            </w:r>
          </w:p>
          <w:p w14:paraId="2C1070C0" w14:textId="77777777" w:rsidR="00DD1C21" w:rsidRPr="00DD1C21" w:rsidRDefault="00DD1C21" w:rsidP="00DD1C21">
            <w:pPr>
              <w:snapToGrid w:val="0"/>
              <w:spacing w:line="360" w:lineRule="auto"/>
              <w:rPr>
                <w:rFonts w:cs="Arial"/>
                <w:sz w:val="20"/>
                <w:szCs w:val="20"/>
                <w:lang w:val="nl-NL"/>
              </w:rPr>
            </w:pPr>
            <w:r w:rsidRPr="00DD1C21">
              <w:rPr>
                <w:sz w:val="20"/>
                <w:szCs w:val="20"/>
                <w:lang w:val="nl-NL"/>
              </w:rPr>
              <w:t>Bijzondere Evaluator van de Belgische Ontwikkelingssamenwerking</w:t>
            </w:r>
            <w:r w:rsidRPr="00DD1C21">
              <w:rPr>
                <w:rFonts w:cs="Arial"/>
                <w:sz w:val="20"/>
                <w:szCs w:val="20"/>
                <w:lang w:val="nl-NL"/>
              </w:rPr>
              <w:t xml:space="preserve"> </w:t>
            </w:r>
          </w:p>
        </w:tc>
      </w:tr>
    </w:tbl>
    <w:p w14:paraId="713DB37E" w14:textId="77777777" w:rsidR="00DD1C21" w:rsidRPr="00DD1C21" w:rsidRDefault="00DD1C21" w:rsidP="00DD1C21">
      <w:pPr>
        <w:snapToGrid w:val="0"/>
        <w:spacing w:line="360" w:lineRule="auto"/>
        <w:rPr>
          <w:rFonts w:cs="Arial"/>
          <w:sz w:val="20"/>
          <w:szCs w:val="20"/>
          <w:lang w:val="nl-NL"/>
        </w:rPr>
      </w:pPr>
    </w:p>
    <w:p w14:paraId="671BD93D" w14:textId="37C55CE2" w:rsidR="00DD1C21" w:rsidRDefault="00DD1C21" w:rsidP="00DD1C21">
      <w:pPr>
        <w:snapToGrid w:val="0"/>
        <w:spacing w:after="60"/>
        <w:ind w:right="-1"/>
        <w:rPr>
          <w:rFonts w:cstheme="minorHAnsi"/>
          <w:color w:val="003B79"/>
          <w:sz w:val="20"/>
          <w:szCs w:val="20"/>
          <w:u w:val="single"/>
          <w:lang w:val="nl-NL"/>
        </w:rPr>
      </w:pPr>
    </w:p>
    <w:p w14:paraId="29891807" w14:textId="0B6B9ACA" w:rsidR="002E704D" w:rsidRDefault="002E704D" w:rsidP="00DD1C21">
      <w:pPr>
        <w:snapToGrid w:val="0"/>
        <w:spacing w:after="60"/>
        <w:ind w:right="-1"/>
        <w:rPr>
          <w:rFonts w:cstheme="minorHAnsi"/>
          <w:color w:val="003B79"/>
          <w:sz w:val="20"/>
          <w:szCs w:val="20"/>
          <w:u w:val="single"/>
          <w:lang w:val="nl-NL"/>
        </w:rPr>
      </w:pPr>
    </w:p>
    <w:p w14:paraId="3A1DED7B" w14:textId="292C6712" w:rsidR="002E704D" w:rsidRDefault="002E704D" w:rsidP="00DD1C21">
      <w:pPr>
        <w:snapToGrid w:val="0"/>
        <w:spacing w:after="60"/>
        <w:ind w:right="-1"/>
        <w:rPr>
          <w:rFonts w:cstheme="minorHAnsi"/>
          <w:color w:val="003B79"/>
          <w:sz w:val="20"/>
          <w:szCs w:val="20"/>
          <w:u w:val="single"/>
          <w:lang w:val="nl-NL"/>
        </w:rPr>
      </w:pPr>
    </w:p>
    <w:p w14:paraId="277AD9C9" w14:textId="72D087A0" w:rsidR="002E704D" w:rsidRDefault="002E704D" w:rsidP="00DD1C21">
      <w:pPr>
        <w:snapToGrid w:val="0"/>
        <w:spacing w:after="60"/>
        <w:ind w:right="-1"/>
        <w:rPr>
          <w:rFonts w:cstheme="minorHAnsi"/>
          <w:color w:val="003B79"/>
          <w:sz w:val="20"/>
          <w:szCs w:val="20"/>
          <w:u w:val="single"/>
          <w:lang w:val="nl-NL"/>
        </w:rPr>
      </w:pPr>
    </w:p>
    <w:p w14:paraId="44F00AB9" w14:textId="47D82FF3" w:rsidR="002E704D" w:rsidRDefault="002E704D" w:rsidP="00DD1C21">
      <w:pPr>
        <w:snapToGrid w:val="0"/>
        <w:spacing w:after="60"/>
        <w:ind w:right="-1"/>
        <w:rPr>
          <w:rFonts w:cstheme="minorHAnsi"/>
          <w:color w:val="003B79"/>
          <w:sz w:val="20"/>
          <w:szCs w:val="20"/>
          <w:u w:val="single"/>
          <w:lang w:val="nl-NL"/>
        </w:rPr>
      </w:pPr>
    </w:p>
    <w:p w14:paraId="4BB467D3" w14:textId="62FFEEBB" w:rsidR="002E704D" w:rsidRDefault="002E704D" w:rsidP="00DD1C21">
      <w:pPr>
        <w:snapToGrid w:val="0"/>
        <w:spacing w:after="60"/>
        <w:ind w:right="-1"/>
        <w:rPr>
          <w:rFonts w:cstheme="minorHAnsi"/>
          <w:color w:val="003B79"/>
          <w:sz w:val="20"/>
          <w:szCs w:val="20"/>
          <w:u w:val="single"/>
          <w:lang w:val="nl-NL"/>
        </w:rPr>
      </w:pPr>
    </w:p>
    <w:p w14:paraId="0F76570D" w14:textId="49F63C67" w:rsidR="002E704D" w:rsidRDefault="002E704D" w:rsidP="00DD1C21">
      <w:pPr>
        <w:snapToGrid w:val="0"/>
        <w:spacing w:after="60"/>
        <w:ind w:right="-1"/>
        <w:rPr>
          <w:rFonts w:cstheme="minorHAnsi"/>
          <w:color w:val="003B79"/>
          <w:sz w:val="20"/>
          <w:szCs w:val="20"/>
          <w:u w:val="single"/>
          <w:lang w:val="nl-NL"/>
        </w:rPr>
      </w:pPr>
    </w:p>
    <w:p w14:paraId="06781B7B" w14:textId="48C2EBEA" w:rsidR="002E704D" w:rsidRDefault="002E704D" w:rsidP="00DD1C21">
      <w:pPr>
        <w:snapToGrid w:val="0"/>
        <w:spacing w:after="60"/>
        <w:ind w:right="-1"/>
        <w:rPr>
          <w:rFonts w:cstheme="minorHAnsi"/>
          <w:color w:val="003B79"/>
          <w:sz w:val="20"/>
          <w:szCs w:val="20"/>
          <w:u w:val="single"/>
          <w:lang w:val="nl-NL"/>
        </w:rPr>
      </w:pPr>
    </w:p>
    <w:p w14:paraId="78E14C9E" w14:textId="764536B7" w:rsidR="002E704D" w:rsidRDefault="002E704D" w:rsidP="00DD1C21">
      <w:pPr>
        <w:snapToGrid w:val="0"/>
        <w:spacing w:after="60"/>
        <w:ind w:right="-1"/>
        <w:rPr>
          <w:rFonts w:cstheme="minorHAnsi"/>
          <w:color w:val="003B79"/>
          <w:sz w:val="20"/>
          <w:szCs w:val="20"/>
          <w:u w:val="single"/>
          <w:lang w:val="nl-NL"/>
        </w:rPr>
      </w:pPr>
    </w:p>
    <w:p w14:paraId="58510B48" w14:textId="382AAC4A" w:rsidR="002E704D" w:rsidRDefault="002E704D" w:rsidP="00DD1C21">
      <w:pPr>
        <w:snapToGrid w:val="0"/>
        <w:spacing w:after="60"/>
        <w:ind w:right="-1"/>
        <w:rPr>
          <w:rFonts w:cstheme="minorHAnsi"/>
          <w:color w:val="003B79"/>
          <w:sz w:val="20"/>
          <w:szCs w:val="20"/>
          <w:u w:val="single"/>
          <w:lang w:val="nl-NL"/>
        </w:rPr>
      </w:pPr>
    </w:p>
    <w:p w14:paraId="58205245" w14:textId="6B011487" w:rsidR="002E704D" w:rsidRDefault="002E704D" w:rsidP="00DD1C21">
      <w:pPr>
        <w:snapToGrid w:val="0"/>
        <w:spacing w:after="60"/>
        <w:ind w:right="-1"/>
        <w:rPr>
          <w:rFonts w:cstheme="minorHAnsi"/>
          <w:color w:val="003B79"/>
          <w:sz w:val="20"/>
          <w:szCs w:val="20"/>
          <w:u w:val="single"/>
          <w:lang w:val="nl-NL"/>
        </w:rPr>
      </w:pPr>
    </w:p>
    <w:p w14:paraId="237D7BBA" w14:textId="20004BA4" w:rsidR="002E704D" w:rsidRDefault="002E704D" w:rsidP="00DD1C21">
      <w:pPr>
        <w:snapToGrid w:val="0"/>
        <w:spacing w:after="60"/>
        <w:ind w:right="-1"/>
        <w:rPr>
          <w:rFonts w:cstheme="minorHAnsi"/>
          <w:color w:val="003B79"/>
          <w:sz w:val="20"/>
          <w:szCs w:val="20"/>
          <w:u w:val="single"/>
          <w:lang w:val="nl-NL"/>
        </w:rPr>
      </w:pPr>
    </w:p>
    <w:p w14:paraId="4662877A" w14:textId="4CF4364D" w:rsidR="002E704D" w:rsidRDefault="002E704D" w:rsidP="00DD1C21">
      <w:pPr>
        <w:snapToGrid w:val="0"/>
        <w:spacing w:after="60"/>
        <w:ind w:right="-1"/>
        <w:rPr>
          <w:rFonts w:cstheme="minorHAnsi"/>
          <w:color w:val="003B79"/>
          <w:sz w:val="20"/>
          <w:szCs w:val="20"/>
          <w:u w:val="single"/>
          <w:lang w:val="nl-NL"/>
        </w:rPr>
      </w:pPr>
    </w:p>
    <w:p w14:paraId="4FD3FFCA" w14:textId="1308BDBB" w:rsidR="002E704D" w:rsidRDefault="002E704D" w:rsidP="00DD1C21">
      <w:pPr>
        <w:snapToGrid w:val="0"/>
        <w:spacing w:after="60"/>
        <w:ind w:right="-1"/>
        <w:rPr>
          <w:rFonts w:cstheme="minorHAnsi"/>
          <w:color w:val="003B79"/>
          <w:sz w:val="20"/>
          <w:szCs w:val="20"/>
          <w:u w:val="single"/>
          <w:lang w:val="nl-NL"/>
        </w:rPr>
      </w:pPr>
    </w:p>
    <w:p w14:paraId="51635E23" w14:textId="63B5648A" w:rsidR="002E704D" w:rsidRDefault="002E704D" w:rsidP="00DD1C21">
      <w:pPr>
        <w:snapToGrid w:val="0"/>
        <w:spacing w:after="60"/>
        <w:ind w:right="-1"/>
        <w:rPr>
          <w:rFonts w:cstheme="minorHAnsi"/>
          <w:color w:val="003B79"/>
          <w:sz w:val="20"/>
          <w:szCs w:val="20"/>
          <w:u w:val="single"/>
          <w:lang w:val="nl-NL"/>
        </w:rPr>
      </w:pPr>
    </w:p>
    <w:p w14:paraId="40DEEA35" w14:textId="234095FE" w:rsidR="005101A5" w:rsidRDefault="005101A5" w:rsidP="00DD1C21">
      <w:pPr>
        <w:snapToGrid w:val="0"/>
        <w:spacing w:after="60"/>
        <w:ind w:right="-1"/>
        <w:rPr>
          <w:rFonts w:cstheme="minorHAnsi"/>
          <w:color w:val="003B79"/>
          <w:sz w:val="20"/>
          <w:szCs w:val="20"/>
          <w:u w:val="single"/>
          <w:lang w:val="nl-NL"/>
        </w:rPr>
      </w:pPr>
    </w:p>
    <w:p w14:paraId="7FC6EC17" w14:textId="0D5C1EC0" w:rsidR="005101A5" w:rsidRDefault="005101A5" w:rsidP="00DD1C21">
      <w:pPr>
        <w:snapToGrid w:val="0"/>
        <w:spacing w:after="60"/>
        <w:ind w:right="-1"/>
        <w:rPr>
          <w:rFonts w:cstheme="minorHAnsi"/>
          <w:color w:val="003B79"/>
          <w:sz w:val="20"/>
          <w:szCs w:val="20"/>
          <w:u w:val="single"/>
          <w:lang w:val="nl-NL"/>
        </w:rPr>
      </w:pPr>
    </w:p>
    <w:p w14:paraId="221470E9" w14:textId="053C673A" w:rsidR="005101A5" w:rsidRDefault="005101A5" w:rsidP="00DD1C21">
      <w:pPr>
        <w:snapToGrid w:val="0"/>
        <w:spacing w:after="60"/>
        <w:ind w:right="-1"/>
        <w:rPr>
          <w:rFonts w:cstheme="minorHAnsi"/>
          <w:color w:val="003B79"/>
          <w:sz w:val="20"/>
          <w:szCs w:val="20"/>
          <w:u w:val="single"/>
          <w:lang w:val="nl-NL"/>
        </w:rPr>
      </w:pPr>
    </w:p>
    <w:p w14:paraId="7950C19B" w14:textId="2A205796" w:rsidR="005101A5" w:rsidRDefault="005101A5" w:rsidP="00DD1C21">
      <w:pPr>
        <w:snapToGrid w:val="0"/>
        <w:spacing w:after="60"/>
        <w:ind w:right="-1"/>
        <w:rPr>
          <w:rFonts w:cstheme="minorHAnsi"/>
          <w:color w:val="003B79"/>
          <w:sz w:val="20"/>
          <w:szCs w:val="20"/>
          <w:u w:val="single"/>
          <w:lang w:val="nl-NL"/>
        </w:rPr>
      </w:pPr>
    </w:p>
    <w:p w14:paraId="35CCEE22" w14:textId="11D863A0" w:rsidR="005101A5" w:rsidRDefault="005101A5" w:rsidP="00DD1C21">
      <w:pPr>
        <w:snapToGrid w:val="0"/>
        <w:spacing w:after="60"/>
        <w:ind w:right="-1"/>
        <w:rPr>
          <w:rFonts w:cstheme="minorHAnsi"/>
          <w:color w:val="003B79"/>
          <w:sz w:val="20"/>
          <w:szCs w:val="20"/>
          <w:u w:val="single"/>
          <w:lang w:val="nl-NL"/>
        </w:rPr>
      </w:pPr>
    </w:p>
    <w:p w14:paraId="3572995D" w14:textId="77777777" w:rsidR="005101A5" w:rsidRDefault="005101A5" w:rsidP="00DD1C21">
      <w:pPr>
        <w:snapToGrid w:val="0"/>
        <w:spacing w:after="60"/>
        <w:ind w:right="-1"/>
        <w:rPr>
          <w:rFonts w:cstheme="minorHAnsi"/>
          <w:color w:val="003B79"/>
          <w:sz w:val="20"/>
          <w:szCs w:val="20"/>
          <w:u w:val="single"/>
          <w:lang w:val="nl-NL"/>
        </w:rPr>
      </w:pPr>
    </w:p>
    <w:p w14:paraId="6DBD0238" w14:textId="070B1868" w:rsidR="002E704D" w:rsidRDefault="002E704D" w:rsidP="00DD1C21">
      <w:pPr>
        <w:snapToGrid w:val="0"/>
        <w:spacing w:after="60"/>
        <w:ind w:right="-1"/>
        <w:rPr>
          <w:rFonts w:cstheme="minorHAnsi"/>
          <w:color w:val="003B79"/>
          <w:sz w:val="20"/>
          <w:szCs w:val="20"/>
          <w:u w:val="single"/>
          <w:lang w:val="nl-NL"/>
        </w:rPr>
      </w:pPr>
    </w:p>
    <w:p w14:paraId="4FB3FD36" w14:textId="4705D9A2" w:rsidR="002E704D" w:rsidRDefault="002E704D" w:rsidP="00DD1C21">
      <w:pPr>
        <w:snapToGrid w:val="0"/>
        <w:spacing w:after="60"/>
        <w:ind w:right="-1"/>
        <w:rPr>
          <w:rFonts w:cstheme="minorHAnsi"/>
          <w:color w:val="003B79"/>
          <w:sz w:val="20"/>
          <w:szCs w:val="20"/>
          <w:u w:val="single"/>
          <w:lang w:val="nl-NL"/>
        </w:rPr>
      </w:pPr>
    </w:p>
    <w:p w14:paraId="467AED99" w14:textId="77777777" w:rsidR="002E704D" w:rsidRPr="00DD1C21" w:rsidRDefault="002E704D" w:rsidP="00DD1C21">
      <w:pPr>
        <w:snapToGrid w:val="0"/>
        <w:spacing w:after="60"/>
        <w:ind w:right="-1"/>
        <w:rPr>
          <w:rFonts w:cstheme="minorHAnsi"/>
          <w:color w:val="003B79"/>
          <w:sz w:val="20"/>
          <w:szCs w:val="20"/>
          <w:u w:val="single"/>
          <w:lang w:val="nl-NL"/>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84"/>
      </w:tblGrid>
      <w:tr w:rsidR="00BF3335" w:rsidRPr="002B7D1F" w14:paraId="597D335F" w14:textId="77777777">
        <w:tc>
          <w:tcPr>
            <w:tcW w:w="9284" w:type="dxa"/>
            <w:tcBorders>
              <w:top w:val="single" w:sz="4" w:space="0" w:color="auto"/>
              <w:left w:val="single" w:sz="4" w:space="0" w:color="auto"/>
              <w:bottom w:val="single" w:sz="4" w:space="0" w:color="auto"/>
              <w:right w:val="single" w:sz="4" w:space="0" w:color="auto"/>
            </w:tcBorders>
            <w:shd w:val="pct5" w:color="auto" w:fill="FFFFFF"/>
          </w:tcPr>
          <w:p w14:paraId="76B3AE4D" w14:textId="2F54CF73" w:rsidR="00BF3335" w:rsidRPr="00BF3335" w:rsidRDefault="00BF3335" w:rsidP="00BF3335">
            <w:pPr>
              <w:pStyle w:val="Vade-Mecum0"/>
              <w:rPr>
                <w:b/>
                <w:lang w:val="nl-NL"/>
              </w:rPr>
            </w:pPr>
            <w:r w:rsidRPr="00BF3335">
              <w:rPr>
                <w:b/>
                <w:lang w:val="nl-NL"/>
              </w:rPr>
              <w:lastRenderedPageBreak/>
              <w:t>PRO MEMORIE: DOCUMENTEN DIE VERPLICHT BIJ DE OFFERTE DIENEN TE WORDEN GEVOEGD:</w:t>
            </w:r>
          </w:p>
          <w:p w14:paraId="422065D2" w14:textId="061F5363" w:rsidR="00BF3335" w:rsidRPr="00BF3335" w:rsidRDefault="00BF3335" w:rsidP="00BF3335">
            <w:pPr>
              <w:pStyle w:val="Vade-Mecum0"/>
              <w:rPr>
                <w:lang w:val="nl-NL"/>
              </w:rPr>
            </w:pPr>
            <w:r w:rsidRPr="00BF3335">
              <w:rPr>
                <w:lang w:val="nl-NL"/>
              </w:rPr>
              <w:t>Alle documenten en inlichtingen gevraagd in het raam van de gunningscriteria; en meer specifiek:</w:t>
            </w:r>
          </w:p>
          <w:p w14:paraId="6FEF0B71" w14:textId="77777777" w:rsidR="00BF3335" w:rsidRPr="00BF3335" w:rsidRDefault="00BF3335">
            <w:pPr>
              <w:pStyle w:val="Vade-Mecum0"/>
              <w:numPr>
                <w:ilvl w:val="0"/>
                <w:numId w:val="13"/>
              </w:numPr>
              <w:rPr>
                <w:lang w:val="nl-NL"/>
              </w:rPr>
            </w:pPr>
            <w:r w:rsidRPr="00BF3335">
              <w:rPr>
                <w:lang w:val="nl-NL"/>
              </w:rPr>
              <w:t>verklaring met betrekking tot de totale omzet behaald tijdens de laatste drie boekjaren, tenzij de totale omzet wordt vermeld in de goedgekeurde jaarrekening die kan worden geraadpleegd via het elektronische loket;</w:t>
            </w:r>
          </w:p>
          <w:p w14:paraId="4096EC4E" w14:textId="77777777" w:rsidR="00BF3335" w:rsidRPr="00BF3335" w:rsidRDefault="00BF3335">
            <w:pPr>
              <w:pStyle w:val="Vade-Mecum0"/>
              <w:numPr>
                <w:ilvl w:val="0"/>
                <w:numId w:val="13"/>
              </w:numPr>
              <w:rPr>
                <w:lang w:val="nl-NL"/>
              </w:rPr>
            </w:pPr>
            <w:r w:rsidRPr="00BF3335">
              <w:rPr>
                <w:lang w:val="nl-NL"/>
              </w:rPr>
              <w:t>verklaring betreffende de omzet met betrekking tot de evaluatieactiviteiten inzake ontwikkelingssamenwerking die tijdens de laatste drie boekjaren zijn uitgevoerd;</w:t>
            </w:r>
          </w:p>
          <w:p w14:paraId="78F448B8" w14:textId="77777777" w:rsidR="00BF3335" w:rsidRPr="00BF3335" w:rsidRDefault="00BF3335">
            <w:pPr>
              <w:pStyle w:val="Vade-Mecum0"/>
              <w:numPr>
                <w:ilvl w:val="0"/>
                <w:numId w:val="13"/>
              </w:numPr>
              <w:rPr>
                <w:lang w:val="nl-NL"/>
              </w:rPr>
            </w:pPr>
            <w:r w:rsidRPr="00BF3335">
              <w:rPr>
                <w:lang w:val="nl-NL"/>
              </w:rPr>
              <w:t>beschrijving van het bedrijf van de inschrijver, inclusief zijn belangrijkste troeven met betrekking tot de diensten die krachtens dit contract worden verleend;</w:t>
            </w:r>
          </w:p>
          <w:p w14:paraId="4E96B99F" w14:textId="47855078" w:rsidR="00BF3335" w:rsidRPr="00BF3335" w:rsidRDefault="00BF3335">
            <w:pPr>
              <w:pStyle w:val="Vade-Mecum0"/>
              <w:numPr>
                <w:ilvl w:val="0"/>
                <w:numId w:val="13"/>
              </w:numPr>
              <w:rPr>
                <w:lang w:val="nl-NL"/>
              </w:rPr>
            </w:pPr>
            <w:r w:rsidRPr="00BF3335">
              <w:rPr>
                <w:lang w:val="nl-NL"/>
              </w:rPr>
              <w:t xml:space="preserve">lijst met de onderzoeken en evaluaties die relevant zijn voor dit contract en die de afgelopen </w:t>
            </w:r>
            <w:r w:rsidR="0011338D">
              <w:rPr>
                <w:lang w:val="nl-NL"/>
              </w:rPr>
              <w:t>5</w:t>
            </w:r>
            <w:r w:rsidRPr="00BF3335">
              <w:rPr>
                <w:lang w:val="nl-NL"/>
              </w:rPr>
              <w:t xml:space="preserve"> jaar zijn uitgevoerd of die door de inschrijver nu worden uitgevoerd (voor gevraagde informatie, zie o</w:t>
            </w:r>
            <w:r w:rsidRPr="0008416C">
              <w:rPr>
                <w:lang w:val="nl-NL"/>
              </w:rPr>
              <w:t>ok A11.1)</w:t>
            </w:r>
          </w:p>
          <w:p w14:paraId="075BEF7E" w14:textId="77777777" w:rsidR="00BF3335" w:rsidRPr="00BF3335" w:rsidRDefault="00BF3335">
            <w:pPr>
              <w:pStyle w:val="Vade-Mecum0"/>
              <w:numPr>
                <w:ilvl w:val="0"/>
                <w:numId w:val="13"/>
              </w:numPr>
              <w:rPr>
                <w:lang w:val="nl-NL"/>
              </w:rPr>
            </w:pPr>
            <w:r w:rsidRPr="00BF3335">
              <w:rPr>
                <w:lang w:val="nl-NL"/>
              </w:rPr>
              <w:t>de statuten of elk ander nuttig document waaruit het mandaat van de ondertekenaar(s) blijkt;</w:t>
            </w:r>
          </w:p>
          <w:p w14:paraId="6CFF695F" w14:textId="77777777" w:rsidR="00BF3335" w:rsidRPr="00BF3335" w:rsidRDefault="00BF3335">
            <w:pPr>
              <w:pStyle w:val="Vade-Mecum0"/>
              <w:numPr>
                <w:ilvl w:val="0"/>
                <w:numId w:val="13"/>
              </w:numPr>
              <w:rPr>
                <w:lang w:val="nl-NL"/>
              </w:rPr>
            </w:pPr>
            <w:r w:rsidRPr="00BF3335">
              <w:rPr>
                <w:lang w:val="nl-NL"/>
              </w:rPr>
              <w:t>de gedetailleerde curriculum vitae van de mensen die zijn voorgesteld om de diensten die in deel B beschreven zijn, uit te voeren. De curriculum vitae van de leden van het evaluatieteam worden gevolgd door een verklaring van beschikbaarheid;</w:t>
            </w:r>
          </w:p>
          <w:p w14:paraId="1D7A4EFC" w14:textId="77777777" w:rsidR="00BF3335" w:rsidRPr="00BF3335" w:rsidRDefault="00BF3335">
            <w:pPr>
              <w:pStyle w:val="Vade-Mecum0"/>
              <w:numPr>
                <w:ilvl w:val="0"/>
                <w:numId w:val="13"/>
              </w:numPr>
              <w:rPr>
                <w:bCs/>
                <w:lang w:val="nl-NL"/>
              </w:rPr>
            </w:pPr>
            <w:r w:rsidRPr="00BF3335">
              <w:rPr>
                <w:bCs/>
                <w:lang w:val="nl-NL"/>
              </w:rPr>
              <w:t>beschrijving van de ESG-maatregelen (milieu, sociaal en bestuur) waartoe de inschrijver zich verbindt in het kader van deze opdracht;</w:t>
            </w:r>
          </w:p>
          <w:p w14:paraId="1ED7D7C4" w14:textId="0539DA63" w:rsidR="00BF3335" w:rsidRPr="00BF3335" w:rsidRDefault="00BF3335">
            <w:pPr>
              <w:pStyle w:val="Vade-Mecum0"/>
              <w:numPr>
                <w:ilvl w:val="0"/>
                <w:numId w:val="13"/>
              </w:numPr>
              <w:rPr>
                <w:lang w:val="nl-NL"/>
              </w:rPr>
            </w:pPr>
            <w:r w:rsidRPr="00BF3335">
              <w:rPr>
                <w:lang w:val="nl-NL"/>
              </w:rPr>
              <w:t>het Uniform Europees Aanbestedingsdocument (UEA).</w:t>
            </w:r>
          </w:p>
        </w:tc>
      </w:tr>
    </w:tbl>
    <w:p w14:paraId="3328B40E" w14:textId="77777777" w:rsidR="00BF3335" w:rsidRPr="00BF3335" w:rsidRDefault="00BF3335" w:rsidP="00BF3335">
      <w:pPr>
        <w:pStyle w:val="Vade-Mecum0"/>
        <w:rPr>
          <w:lang w:val="nl-NL"/>
        </w:rPr>
      </w:pPr>
    </w:p>
    <w:p w14:paraId="24EC9282" w14:textId="22BD388E" w:rsidR="00BF3335" w:rsidRDefault="00BF3335" w:rsidP="00BF3335">
      <w:pPr>
        <w:pStyle w:val="Vade-Mecum0"/>
        <w:rPr>
          <w:lang w:val="nl-NL"/>
        </w:rPr>
      </w:pPr>
    </w:p>
    <w:p w14:paraId="502F6352" w14:textId="4502226C" w:rsidR="00BF3335" w:rsidRDefault="00BF3335" w:rsidP="00BF3335">
      <w:pPr>
        <w:pStyle w:val="Vade-Mecum0"/>
        <w:rPr>
          <w:lang w:val="nl-NL"/>
        </w:rPr>
      </w:pPr>
    </w:p>
    <w:p w14:paraId="7DEF56B5" w14:textId="61DE56E9" w:rsidR="00BF3335" w:rsidRDefault="00BF3335" w:rsidP="00BF3335">
      <w:pPr>
        <w:pStyle w:val="Vade-Mecum0"/>
        <w:rPr>
          <w:lang w:val="nl-NL"/>
        </w:rPr>
      </w:pPr>
    </w:p>
    <w:p w14:paraId="29B91DE9" w14:textId="3DBD3163" w:rsidR="00BF3335" w:rsidRDefault="00BF3335" w:rsidP="00BF3335">
      <w:pPr>
        <w:pStyle w:val="Vade-Mecum0"/>
        <w:rPr>
          <w:lang w:val="nl-NL"/>
        </w:rPr>
      </w:pPr>
    </w:p>
    <w:p w14:paraId="1E1C7038" w14:textId="77777777" w:rsidR="00BF3335" w:rsidRPr="00BF3335" w:rsidRDefault="00BF3335" w:rsidP="00BF3335">
      <w:pPr>
        <w:pStyle w:val="Vade-Mecum0"/>
        <w:rPr>
          <w:lang w:val="nl-NL"/>
        </w:rPr>
      </w:pPr>
    </w:p>
    <w:sectPr w:rsidR="00BF3335" w:rsidRPr="00BF3335" w:rsidSect="004E29D6">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DC65" w14:textId="77777777" w:rsidR="00D206F3" w:rsidRDefault="00D206F3" w:rsidP="00B942FD">
      <w:pPr>
        <w:spacing w:after="0" w:line="240" w:lineRule="auto"/>
      </w:pPr>
      <w:r>
        <w:separator/>
      </w:r>
    </w:p>
  </w:endnote>
  <w:endnote w:type="continuationSeparator" w:id="0">
    <w:p w14:paraId="27F42D6E" w14:textId="77777777" w:rsidR="00D206F3" w:rsidRDefault="00D206F3" w:rsidP="00B942FD">
      <w:pPr>
        <w:spacing w:after="0" w:line="240" w:lineRule="auto"/>
      </w:pPr>
      <w:r>
        <w:continuationSeparator/>
      </w:r>
    </w:p>
  </w:endnote>
  <w:endnote w:type="continuationNotice" w:id="1">
    <w:p w14:paraId="01097DB5" w14:textId="77777777" w:rsidR="00D206F3" w:rsidRDefault="00D20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ora">
    <w:panose1 w:val="00000000000000000000"/>
    <w:charset w:val="00"/>
    <w:family w:val="auto"/>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Lora Medium">
    <w:panose1 w:val="00000000000000000000"/>
    <w:charset w:val="00"/>
    <w:family w:val="auto"/>
    <w:pitch w:val="variable"/>
    <w:sig w:usb0="A00002FF" w:usb1="5000204B" w:usb2="00000000" w:usb3="00000000" w:csb0="00000097" w:csb1="00000000"/>
  </w:font>
  <w:font w:name="Roboto Medium">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7210" w14:textId="77777777" w:rsidR="00D145AC" w:rsidRDefault="00D1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9479" w14:textId="77777777" w:rsidR="00D145AC" w:rsidRDefault="00D14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F0C" w14:textId="77777777" w:rsidR="00D145AC" w:rsidRDefault="00D145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02D4" w14:textId="77777777" w:rsidR="00B10642" w:rsidRDefault="00B106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196" w14:textId="7A7CC642" w:rsidR="00B10642" w:rsidRDefault="00B10642">
    <w:pPr>
      <w:pStyle w:val="Footer"/>
      <w:jc w:val="right"/>
    </w:pPr>
  </w:p>
  <w:p w14:paraId="26B7239D" w14:textId="77777777" w:rsidR="002A59FB" w:rsidRDefault="002A59FB" w:rsidP="005E4F5A">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A288" w14:textId="77777777" w:rsidR="00B10642" w:rsidRDefault="00B106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8BCB" w14:textId="0AA4DB0E" w:rsidR="00BF3335" w:rsidRPr="009410E6" w:rsidRDefault="009410E6">
    <w:pPr>
      <w:pStyle w:val="Footer"/>
      <w:tabs>
        <w:tab w:val="right" w:pos="8931"/>
      </w:tabs>
      <w:snapToGrid w:val="0"/>
      <w:ind w:right="1"/>
      <w:rPr>
        <w:sz w:val="20"/>
        <w:szCs w:val="20"/>
        <w:lang w:val="nl-NL"/>
      </w:rPr>
    </w:pPr>
    <w:r w:rsidRPr="009410E6">
      <w:rPr>
        <w:rFonts w:eastAsia="Verdana" w:cs="Verdana"/>
        <w:sz w:val="20"/>
        <w:szCs w:val="20"/>
        <w:lang w:val="nl-NL"/>
      </w:rPr>
      <w:tab/>
    </w:r>
    <w:r w:rsidR="00BF3335" w:rsidRPr="009410E6">
      <w:rPr>
        <w:rFonts w:eastAsia="Verdana" w:cs="Verdana"/>
        <w:sz w:val="20"/>
        <w:szCs w:val="20"/>
        <w:lang w:val="nl-NL"/>
      </w:rPr>
      <w:tab/>
    </w:r>
    <w:r w:rsidR="00BF3335" w:rsidRPr="009410E6">
      <w:rPr>
        <w:sz w:val="20"/>
        <w:szCs w:val="20"/>
      </w:rPr>
      <w:fldChar w:fldCharType="begin"/>
    </w:r>
    <w:r w:rsidR="00BF3335" w:rsidRPr="009410E6">
      <w:rPr>
        <w:sz w:val="20"/>
        <w:szCs w:val="20"/>
      </w:rPr>
      <w:instrText>PAGE   \* MERGEFORMAT</w:instrText>
    </w:r>
    <w:r w:rsidR="00BF3335" w:rsidRPr="009410E6">
      <w:rPr>
        <w:sz w:val="20"/>
        <w:szCs w:val="20"/>
      </w:rPr>
      <w:fldChar w:fldCharType="separate"/>
    </w:r>
    <w:r w:rsidR="00BF3335" w:rsidRPr="009410E6">
      <w:rPr>
        <w:noProof/>
        <w:sz w:val="20"/>
        <w:szCs w:val="20"/>
        <w:lang w:val="nl-NL"/>
      </w:rPr>
      <w:t>29</w:t>
    </w:r>
    <w:r w:rsidR="00BF3335" w:rsidRPr="009410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4E31" w14:textId="77777777" w:rsidR="00D206F3" w:rsidRDefault="00D206F3" w:rsidP="00B942FD">
      <w:pPr>
        <w:spacing w:after="0" w:line="240" w:lineRule="auto"/>
      </w:pPr>
      <w:r>
        <w:separator/>
      </w:r>
    </w:p>
  </w:footnote>
  <w:footnote w:type="continuationSeparator" w:id="0">
    <w:p w14:paraId="08EDCC81" w14:textId="77777777" w:rsidR="00D206F3" w:rsidRDefault="00D206F3" w:rsidP="00B942FD">
      <w:pPr>
        <w:spacing w:after="0" w:line="240" w:lineRule="auto"/>
      </w:pPr>
      <w:r>
        <w:continuationSeparator/>
      </w:r>
    </w:p>
  </w:footnote>
  <w:footnote w:type="continuationNotice" w:id="1">
    <w:p w14:paraId="7C85F78D" w14:textId="77777777" w:rsidR="00D206F3" w:rsidRDefault="00D206F3">
      <w:pPr>
        <w:spacing w:after="0" w:line="240" w:lineRule="auto"/>
      </w:pPr>
    </w:p>
  </w:footnote>
  <w:footnote w:id="2">
    <w:p w14:paraId="2137288E" w14:textId="77777777" w:rsidR="009875B8" w:rsidRPr="005B5557" w:rsidRDefault="009875B8" w:rsidP="009875B8">
      <w:pPr>
        <w:pStyle w:val="FootnoteText"/>
        <w:rPr>
          <w:rFonts w:ascii="Roboto" w:hAnsi="Roboto"/>
          <w:sz w:val="16"/>
          <w:szCs w:val="16"/>
          <w:lang w:val="nl-NL"/>
        </w:rPr>
      </w:pPr>
      <w:r w:rsidRPr="005B5557">
        <w:rPr>
          <w:rStyle w:val="FootnoteReference"/>
          <w:rFonts w:ascii="Roboto" w:eastAsiaTheme="majorEastAsia" w:hAnsi="Roboto"/>
          <w:sz w:val="16"/>
          <w:szCs w:val="16"/>
        </w:rPr>
        <w:footnoteRef/>
      </w:r>
      <w:r w:rsidRPr="005B5557">
        <w:rPr>
          <w:rFonts w:ascii="Roboto" w:hAnsi="Roboto"/>
          <w:sz w:val="16"/>
          <w:szCs w:val="16"/>
          <w:lang w:val="nl-NL"/>
        </w:rPr>
        <w:t xml:space="preserve"> Indien van toepassing.</w:t>
      </w:r>
    </w:p>
  </w:footnote>
  <w:footnote w:id="3">
    <w:p w14:paraId="5C1B83F6" w14:textId="77777777" w:rsidR="009875B8" w:rsidRPr="005B5557" w:rsidRDefault="009875B8" w:rsidP="009875B8">
      <w:pPr>
        <w:pStyle w:val="FootnoteText"/>
        <w:jc w:val="both"/>
        <w:rPr>
          <w:sz w:val="16"/>
          <w:szCs w:val="16"/>
          <w:lang w:val="nl-NL"/>
        </w:rPr>
      </w:pPr>
      <w:r w:rsidRPr="005B5557">
        <w:rPr>
          <w:rStyle w:val="FootnoteReference"/>
          <w:sz w:val="16"/>
          <w:szCs w:val="16"/>
        </w:rPr>
        <w:footnoteRef/>
      </w:r>
      <w:r w:rsidRPr="005B5557">
        <w:rPr>
          <w:sz w:val="16"/>
          <w:szCs w:val="16"/>
          <w:lang w:val="nl-NL"/>
        </w:rPr>
        <w:t xml:space="preserve"> </w:t>
      </w:r>
      <w:r w:rsidRPr="005B5557">
        <w:rPr>
          <w:rFonts w:ascii="Roboto" w:hAnsi="Roboto"/>
          <w:sz w:val="16"/>
          <w:szCs w:val="16"/>
          <w:lang w:val="nl-NL"/>
        </w:rPr>
        <w:t xml:space="preserve">Conform </w:t>
      </w:r>
      <w:r w:rsidRPr="005B5557">
        <w:rPr>
          <w:rFonts w:ascii="Roboto" w:hAnsi="Roboto" w:cs="Arial"/>
          <w:sz w:val="16"/>
          <w:szCs w:val="16"/>
          <w:lang w:val="nl-NL"/>
        </w:rPr>
        <w:t xml:space="preserve">art 4, 2)  van de AVG wordt onder “verwerking” verstaan </w:t>
      </w:r>
      <w:r w:rsidRPr="005B5557">
        <w:rPr>
          <w:rFonts w:ascii="Roboto" w:hAnsi="Roboto"/>
          <w:sz w:val="16"/>
          <w:szCs w:val="16"/>
          <w:lang w:val="nl-NL"/>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rsidRPr="005B5557">
        <w:rPr>
          <w:rFonts w:ascii="Roboto" w:hAnsi="Roboto" w:cs="Arial"/>
          <w:sz w:val="16"/>
          <w:szCs w:val="16"/>
          <w:lang w:val="nl-NL"/>
        </w:rPr>
        <w:t>.</w:t>
      </w:r>
    </w:p>
  </w:footnote>
  <w:footnote w:id="4">
    <w:p w14:paraId="09D54247" w14:textId="26BBB81B" w:rsidR="00B82C2D" w:rsidRPr="00584826" w:rsidRDefault="00B82C2D" w:rsidP="00B82C2D">
      <w:pPr>
        <w:pStyle w:val="FootnoteText"/>
        <w:jc w:val="both"/>
        <w:rPr>
          <w:rFonts w:ascii="Roboto" w:hAnsi="Roboto"/>
          <w:sz w:val="18"/>
          <w:szCs w:val="18"/>
          <w:lang w:val="nl-NL"/>
        </w:rPr>
      </w:pPr>
      <w:r>
        <w:rPr>
          <w:rStyle w:val="FootnoteReference"/>
        </w:rPr>
        <w:footnoteRef/>
      </w:r>
      <w:r w:rsidRPr="00B82C2D">
        <w:rPr>
          <w:lang w:val="nl-NL"/>
        </w:rPr>
        <w:t xml:space="preserve"> </w:t>
      </w:r>
      <w:r w:rsidRPr="00B82C2D">
        <w:rPr>
          <w:rFonts w:ascii="Roboto" w:hAnsi="Roboto"/>
          <w:sz w:val="18"/>
          <w:szCs w:val="18"/>
          <w:lang w:val="nl-NL"/>
        </w:rPr>
        <w:t xml:space="preserve">De </w:t>
      </w:r>
      <w:r w:rsidRPr="00584826">
        <w:rPr>
          <w:rFonts w:ascii="Roboto" w:hAnsi="Roboto"/>
          <w:sz w:val="18"/>
          <w:szCs w:val="18"/>
          <w:lang w:val="nl-NL"/>
        </w:rPr>
        <w:t>internationale contextbeschrijving in deze referentietermen is sterk geïnspireerd door het OESO-DAC narratief. Het staat de evaluatoren vrij om ook andere visies aan bod te laten komen in hun aanpak.</w:t>
      </w:r>
    </w:p>
  </w:footnote>
  <w:footnote w:id="5">
    <w:p w14:paraId="5490F478" w14:textId="18C748B4" w:rsidR="00D33835" w:rsidRPr="00D33835" w:rsidRDefault="00D33835">
      <w:pPr>
        <w:pStyle w:val="FootnoteText"/>
        <w:rPr>
          <w:lang w:val="nl-NL"/>
        </w:rPr>
      </w:pPr>
      <w:r w:rsidRPr="00584826">
        <w:rPr>
          <w:rStyle w:val="FootnoteReference"/>
          <w:rFonts w:ascii="Roboto" w:hAnsi="Roboto"/>
          <w:sz w:val="18"/>
          <w:szCs w:val="18"/>
        </w:rPr>
        <w:footnoteRef/>
      </w:r>
      <w:r w:rsidRPr="00584826">
        <w:rPr>
          <w:rFonts w:ascii="Roboto" w:hAnsi="Roboto"/>
          <w:sz w:val="18"/>
          <w:szCs w:val="18"/>
          <w:lang w:val="nl-NL"/>
        </w:rPr>
        <w:t xml:space="preserve"> </w:t>
      </w:r>
      <w:hyperlink r:id="rId1" w:history="1">
        <w:r w:rsidR="00584826" w:rsidRPr="00FE0ADE">
          <w:rPr>
            <w:rStyle w:val="Hyperlink"/>
            <w:rFonts w:ascii="Roboto" w:hAnsi="Roboto"/>
            <w:sz w:val="18"/>
            <w:szCs w:val="18"/>
            <w:lang w:val="nl-NL"/>
          </w:rPr>
          <w:t>States of Fragility 2022 | en | OECD</w:t>
        </w:r>
      </w:hyperlink>
    </w:p>
  </w:footnote>
  <w:footnote w:id="6">
    <w:p w14:paraId="09A72FDA" w14:textId="0A810C01" w:rsidR="00565C95" w:rsidRPr="00565C95" w:rsidRDefault="00565C95">
      <w:pPr>
        <w:pStyle w:val="FootnoteText"/>
        <w:rPr>
          <w:lang w:val="nl-NL"/>
        </w:rPr>
      </w:pPr>
      <w:r>
        <w:rPr>
          <w:rStyle w:val="FootnoteReference"/>
        </w:rPr>
        <w:footnoteRef/>
      </w:r>
      <w:r w:rsidR="77A2FCF5" w:rsidRPr="00565C95">
        <w:rPr>
          <w:rFonts w:ascii="Roboto" w:hAnsi="Roboto"/>
          <w:sz w:val="18"/>
          <w:szCs w:val="18"/>
          <w:lang w:val="nl-NL"/>
        </w:rPr>
        <w:t>Afghanistan, Burundi, Centrale Afrikaanse Republiek, Tsjaad, Congo, DR Congo, Equatoriaal Guinee, Eritrea, Haïti, Irak, Somalië, Zuid-Soedan, Soedan, Syrische Arabische Republiek, Jemen</w:t>
      </w:r>
    </w:p>
  </w:footnote>
  <w:footnote w:id="7">
    <w:p w14:paraId="0049BA81" w14:textId="77777777" w:rsidR="0098471A" w:rsidRDefault="0098471A" w:rsidP="0098471A">
      <w:pPr>
        <w:pStyle w:val="FootnoteText"/>
      </w:pPr>
      <w:r>
        <w:rPr>
          <w:rStyle w:val="FootnoteReference"/>
        </w:rPr>
        <w:footnoteRef/>
      </w:r>
      <w:r>
        <w:t xml:space="preserve"> </w:t>
      </w:r>
      <w:r w:rsidRPr="0098471A">
        <w:rPr>
          <w:rFonts w:ascii="Roboto" w:hAnsi="Roboto"/>
          <w:sz w:val="18"/>
          <w:szCs w:val="18"/>
        </w:rPr>
        <w:t>The International Network on Conflict and Fragility</w:t>
      </w:r>
    </w:p>
  </w:footnote>
  <w:footnote w:id="8">
    <w:p w14:paraId="65D3AF36" w14:textId="61AF7897" w:rsidR="00D3400E" w:rsidRDefault="00D3400E">
      <w:pPr>
        <w:pStyle w:val="FootnoteText"/>
      </w:pPr>
      <w:r>
        <w:rPr>
          <w:rStyle w:val="FootnoteReference"/>
        </w:rPr>
        <w:footnoteRef/>
      </w:r>
      <w:r w:rsidRPr="007F3C1B">
        <w:rPr>
          <w:rFonts w:ascii="Roboto" w:hAnsi="Roboto"/>
          <w:sz w:val="18"/>
          <w:szCs w:val="18"/>
        </w:rPr>
        <w:t xml:space="preserve"> </w:t>
      </w:r>
      <w:hyperlink r:id="rId2" w:history="1">
        <w:r w:rsidR="007F3C1B" w:rsidRPr="007F3C1B">
          <w:rPr>
            <w:rStyle w:val="Hyperlink"/>
            <w:rFonts w:ascii="Roboto" w:hAnsi="Roboto"/>
            <w:sz w:val="18"/>
            <w:szCs w:val="18"/>
          </w:rPr>
          <w:t>OECD Development Co-operation Peer Reviews: Belgium 2020 | en | OECD</w:t>
        </w:r>
      </w:hyperlink>
    </w:p>
  </w:footnote>
  <w:footnote w:id="9">
    <w:p w14:paraId="24850DFF" w14:textId="77777777" w:rsidR="00DD1C21" w:rsidRPr="001F79B1" w:rsidRDefault="00DD1C21" w:rsidP="00DD1C21">
      <w:pPr>
        <w:pStyle w:val="FootnoteText"/>
        <w:rPr>
          <w:rFonts w:ascii="Roboto" w:hAnsi="Roboto"/>
          <w:sz w:val="16"/>
          <w:szCs w:val="16"/>
          <w:lang w:val="nl-NL"/>
        </w:rPr>
      </w:pPr>
      <w:r w:rsidRPr="001F79B1">
        <w:rPr>
          <w:rStyle w:val="FootnoteReference"/>
          <w:rFonts w:ascii="Roboto" w:eastAsiaTheme="majorEastAsia" w:hAnsi="Roboto"/>
          <w:sz w:val="16"/>
          <w:szCs w:val="16"/>
        </w:rPr>
        <w:footnoteRef/>
      </w:r>
      <w:r w:rsidRPr="001F79B1">
        <w:rPr>
          <w:rFonts w:ascii="Roboto" w:hAnsi="Roboto"/>
          <w:sz w:val="16"/>
          <w:szCs w:val="16"/>
          <w:lang w:val="nl-NL"/>
        </w:rPr>
        <w:t xml:space="preserve"> Schrappen wat niet past</w:t>
      </w:r>
    </w:p>
  </w:footnote>
  <w:footnote w:id="10">
    <w:p w14:paraId="1F76B7CC" w14:textId="77777777" w:rsidR="00DD1C21" w:rsidRPr="007A574B" w:rsidRDefault="00DD1C21" w:rsidP="00DD1C21">
      <w:pPr>
        <w:pStyle w:val="FootnoteText"/>
        <w:rPr>
          <w:lang w:val="nl-NL"/>
        </w:rPr>
      </w:pPr>
      <w:r>
        <w:rPr>
          <w:rStyle w:val="FootnoteReference"/>
          <w:rFonts w:eastAsiaTheme="majorEastAsia"/>
        </w:rPr>
        <w:footnoteRef/>
      </w:r>
      <w:r w:rsidRPr="007A574B">
        <w:rPr>
          <w:lang w:val="nl-NL"/>
        </w:rPr>
        <w:t xml:space="preserve"> </w:t>
      </w:r>
      <w:r w:rsidRPr="002E704D">
        <w:rPr>
          <w:rFonts w:ascii="Roboto" w:hAnsi="Roboto"/>
          <w:sz w:val="16"/>
          <w:szCs w:val="16"/>
          <w:lang w:val="nl-NL"/>
        </w:rPr>
        <w:t>Eén van de twee mogelijkheden kiezen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D839" w14:textId="77777777" w:rsidR="00D145AC" w:rsidRDefault="00D1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F35" w14:textId="00F771B7" w:rsidR="001C0F23" w:rsidRDefault="008D61E7">
    <w:pPr>
      <w:pStyle w:val="Header"/>
    </w:pPr>
    <w:r>
      <w:rPr>
        <w:noProof/>
      </w:rPr>
      <mc:AlternateContent>
        <mc:Choice Requires="wps">
          <w:drawing>
            <wp:anchor distT="0" distB="0" distL="114300" distR="114300" simplePos="0" relativeHeight="251665409" behindDoc="0" locked="0" layoutInCell="0" allowOverlap="1" wp14:anchorId="2FD21F8C" wp14:editId="4BE85468">
              <wp:simplePos x="0" y="0"/>
              <wp:positionH relativeFrom="page">
                <wp:align>center</wp:align>
              </wp:positionH>
              <wp:positionV relativeFrom="page">
                <wp:align>top</wp:align>
              </wp:positionV>
              <wp:extent cx="7772400" cy="463550"/>
              <wp:effectExtent l="0" t="0" r="0" b="12700"/>
              <wp:wrapNone/>
              <wp:docPr id="3" name="MSIPCM4f064a009616dd8392e8d19f" descr="{&quot;HashCode&quot;:214539155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9BB4F" w14:textId="7F119C87" w:rsidR="008D61E7" w:rsidRPr="00D145AC" w:rsidRDefault="00D145AC" w:rsidP="00D145AC">
                          <w:pPr>
                            <w:spacing w:after="0"/>
                            <w:rPr>
                              <w:rFonts w:ascii="Calibri" w:hAnsi="Calibri" w:cs="Calibri"/>
                              <w:color w:val="000000"/>
                              <w:sz w:val="20"/>
                            </w:rPr>
                          </w:pPr>
                          <w:r w:rsidRPr="00D145AC">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D21F8C" id="_x0000_t202" coordsize="21600,21600" o:spt="202" path="m,l,21600r21600,l21600,xe">
              <v:stroke joinstyle="miter"/>
              <v:path gradientshapeok="t" o:connecttype="rect"/>
            </v:shapetype>
            <v:shape id="MSIPCM4f064a009616dd8392e8d19f" o:spid="_x0000_s1030" type="#_x0000_t202" alt="{&quot;HashCode&quot;:2145391553,&quot;Height&quot;:9999999.0,&quot;Width&quot;:9999999.0,&quot;Placement&quot;:&quot;Header&quot;,&quot;Index&quot;:&quot;Primary&quot;,&quot;Section&quot;:1,&quot;Top&quot;:0.0,&quot;Left&quot;:0.0}" style="position:absolute;left:0;text-align:left;margin-left:0;margin-top:0;width:612pt;height:36.5pt;z-index:25166540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599BB4F" w14:textId="7F119C87" w:rsidR="008D61E7" w:rsidRPr="00D145AC" w:rsidRDefault="00D145AC" w:rsidP="00D145AC">
                    <w:pPr>
                      <w:spacing w:after="0"/>
                      <w:rPr>
                        <w:rFonts w:ascii="Calibri" w:hAnsi="Calibri" w:cs="Calibri"/>
                        <w:color w:val="000000"/>
                        <w:sz w:val="20"/>
                      </w:rPr>
                    </w:pPr>
                    <w:r w:rsidRPr="00D145AC">
                      <w:rPr>
                        <w:rFonts w:ascii="Calibri" w:hAnsi="Calibri" w:cs="Calibri"/>
                        <w:color w:val="000000"/>
                        <w:sz w:val="20"/>
                      </w:rPr>
                      <w:t>USAGE INTERNE - INTERN GEBRUIK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03F0" w14:textId="77777777" w:rsidR="00D145AC" w:rsidRDefault="00D145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DD46" w14:textId="145218A3" w:rsidR="001863FD" w:rsidRPr="002E704D" w:rsidRDefault="004E29D6" w:rsidP="004E29D6">
    <w:pPr>
      <w:pStyle w:val="Header"/>
      <w:rPr>
        <w:rFonts w:ascii="Arial Unicode MS" w:eastAsia="Arial Unicode MS" w:hAnsi="Arial Unicode MS" w:cs="Arial Unicode MS"/>
        <w:color w:val="000000"/>
        <w:sz w:val="17"/>
        <w:lang w:val="de-DE"/>
      </w:rPr>
    </w:pPr>
    <w:bookmarkStart w:id="3" w:name="aliashStandardlabeling1r1HeaderEvenPages"/>
    <w:r w:rsidRPr="002E704D">
      <w:rPr>
        <w:rFonts w:ascii="Arial Unicode MS" w:eastAsia="Arial Unicode MS" w:hAnsi="Arial Unicode MS" w:cs="Arial Unicode MS"/>
        <w:color w:val="000000"/>
        <w:sz w:val="17"/>
        <w:lang w:val="de-DE"/>
      </w:rPr>
      <w:t>USAGE INTERNE - N5 - INTERN GEBRUIK</w:t>
    </w:r>
  </w:p>
  <w:bookmarkEnd w:id="3"/>
  <w:p w14:paraId="073B5365" w14:textId="77777777" w:rsidR="004E29D6" w:rsidRPr="002E704D" w:rsidRDefault="004E29D6">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E95" w14:textId="576EF095" w:rsidR="004E29D6" w:rsidRDefault="00A069EF">
    <w:pPr>
      <w:pStyle w:val="Header"/>
    </w:pPr>
    <w:r>
      <w:rPr>
        <w:noProof/>
      </w:rPr>
      <mc:AlternateContent>
        <mc:Choice Requires="wps">
          <w:drawing>
            <wp:anchor distT="0" distB="0" distL="114300" distR="114300" simplePos="0" relativeHeight="251666433" behindDoc="0" locked="0" layoutInCell="0" allowOverlap="1" wp14:anchorId="5610738C" wp14:editId="4B9CBE6A">
              <wp:simplePos x="0" y="0"/>
              <wp:positionH relativeFrom="page">
                <wp:align>center</wp:align>
              </wp:positionH>
              <wp:positionV relativeFrom="page">
                <wp:align>top</wp:align>
              </wp:positionV>
              <wp:extent cx="7772400" cy="463550"/>
              <wp:effectExtent l="0" t="0" r="0" b="12700"/>
              <wp:wrapNone/>
              <wp:docPr id="4" name="MSIPCM648e47078c2afd83f56f6be2" descr="{&quot;HashCode&quot;:2145391553,&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B0BD8" w14:textId="3438D13D" w:rsidR="00A069EF" w:rsidRPr="00D145AC" w:rsidRDefault="00D145AC" w:rsidP="00D145AC">
                          <w:pPr>
                            <w:spacing w:after="0"/>
                            <w:rPr>
                              <w:rFonts w:ascii="Calibri" w:hAnsi="Calibri" w:cs="Calibri"/>
                              <w:color w:val="000000"/>
                              <w:sz w:val="20"/>
                            </w:rPr>
                          </w:pPr>
                          <w:r w:rsidRPr="00D145AC">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10738C" id="_x0000_t202" coordsize="21600,21600" o:spt="202" path="m,l,21600r21600,l21600,xe">
              <v:stroke joinstyle="miter"/>
              <v:path gradientshapeok="t" o:connecttype="rect"/>
            </v:shapetype>
            <v:shape id="MSIPCM648e47078c2afd83f56f6be2" o:spid="_x0000_s1031" type="#_x0000_t202" alt="{&quot;HashCode&quot;:2145391553,&quot;Height&quot;:9999999.0,&quot;Width&quot;:9999999.0,&quot;Placement&quot;:&quot;Header&quot;,&quot;Index&quot;:&quot;Primary&quot;,&quot;Section&quot;:2,&quot;Top&quot;:0.0,&quot;Left&quot;:0.0}" style="position:absolute;left:0;text-align:left;margin-left:0;margin-top:0;width:612pt;height:36.5pt;z-index:25166643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72B0BD8" w14:textId="3438D13D" w:rsidR="00A069EF" w:rsidRPr="00D145AC" w:rsidRDefault="00D145AC" w:rsidP="00D145AC">
                    <w:pPr>
                      <w:spacing w:after="0"/>
                      <w:rPr>
                        <w:rFonts w:ascii="Calibri" w:hAnsi="Calibri" w:cs="Calibri"/>
                        <w:color w:val="000000"/>
                        <w:sz w:val="20"/>
                      </w:rPr>
                    </w:pPr>
                    <w:r w:rsidRPr="00D145AC">
                      <w:rPr>
                        <w:rFonts w:ascii="Calibri" w:hAnsi="Calibri" w:cs="Calibri"/>
                        <w:color w:val="000000"/>
                        <w:sz w:val="20"/>
                      </w:rPr>
                      <w:t>USAGE INTERNE - INTERN GEBRUIK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D6C2" w14:textId="5C5881AE" w:rsidR="001863FD" w:rsidRDefault="004E29D6" w:rsidP="004E29D6">
    <w:pPr>
      <w:pStyle w:val="Header"/>
      <w:rPr>
        <w:rFonts w:ascii="Arial Unicode MS" w:eastAsia="Arial Unicode MS" w:hAnsi="Arial Unicode MS" w:cs="Arial Unicode MS"/>
        <w:color w:val="000000"/>
        <w:sz w:val="17"/>
      </w:rPr>
    </w:pPr>
    <w:bookmarkStart w:id="4" w:name="aliashStandardlabeling1r1HeaderFirstPage"/>
    <w:r w:rsidRPr="004E29D6">
      <w:rPr>
        <w:rFonts w:ascii="Arial Unicode MS" w:eastAsia="Arial Unicode MS" w:hAnsi="Arial Unicode MS" w:cs="Arial Unicode MS"/>
        <w:color w:val="000000"/>
        <w:sz w:val="17"/>
      </w:rPr>
      <w:t>USAGE INTERNE - N5 - INTERN GEBRUIK</w:t>
    </w:r>
  </w:p>
  <w:bookmarkEnd w:id="4"/>
  <w:p w14:paraId="7AA7451F" w14:textId="77777777" w:rsidR="004E29D6" w:rsidRDefault="004E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AD0"/>
    <w:multiLevelType w:val="multilevel"/>
    <w:tmpl w:val="8442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2" w15:restartNumberingAfterBreak="0">
    <w:nsid w:val="2137710C"/>
    <w:multiLevelType w:val="multilevel"/>
    <w:tmpl w:val="62C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4" w15:restartNumberingAfterBreak="0">
    <w:nsid w:val="25670B93"/>
    <w:multiLevelType w:val="multilevel"/>
    <w:tmpl w:val="7326D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3C1E39"/>
    <w:multiLevelType w:val="multilevel"/>
    <w:tmpl w:val="0409001D"/>
    <w:styleLink w:val="Vade-mecum"/>
    <w:lvl w:ilvl="0">
      <w:start w:val="1"/>
      <w:numFmt w:val="decimal"/>
      <w:lvlText w:val="%1)"/>
      <w:lvlJc w:val="left"/>
      <w:pPr>
        <w:ind w:left="360" w:hanging="360"/>
      </w:pPr>
      <w:rPr>
        <w:rFonts w:asciiTheme="majorHAnsi" w:hAnsiTheme="maj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CB694D"/>
    <w:multiLevelType w:val="hybridMultilevel"/>
    <w:tmpl w:val="FDA093D2"/>
    <w:lvl w:ilvl="0" w:tplc="86DAEA96">
      <w:start w:val="14"/>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3C6251"/>
    <w:multiLevelType w:val="hybridMultilevel"/>
    <w:tmpl w:val="9EE06494"/>
    <w:lvl w:ilvl="0" w:tplc="1E26F144">
      <w:start w:val="1"/>
      <w:numFmt w:val="bullet"/>
      <w:lvlText w:val="-"/>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ECEE1AAE">
      <w:numFmt w:val="bullet"/>
      <w:lvlText w:val=""/>
      <w:lvlJc w:val="left"/>
      <w:pPr>
        <w:ind w:left="1800" w:hanging="360"/>
      </w:pPr>
      <w:rPr>
        <w:rFonts w:ascii="Symbol" w:eastAsia="Times New Roman" w:hAnsi="Symbo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5826159"/>
    <w:multiLevelType w:val="hybridMultilevel"/>
    <w:tmpl w:val="AFD88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6626DA5"/>
    <w:multiLevelType w:val="hybridMultilevel"/>
    <w:tmpl w:val="03B6D606"/>
    <w:lvl w:ilvl="0" w:tplc="115AE94E">
      <w:start w:val="4"/>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8E7401"/>
    <w:multiLevelType w:val="hybridMultilevel"/>
    <w:tmpl w:val="6068F178"/>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7B07825"/>
    <w:multiLevelType w:val="multilevel"/>
    <w:tmpl w:val="F262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DB6A1E"/>
    <w:multiLevelType w:val="multilevel"/>
    <w:tmpl w:val="8DB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ED5593"/>
    <w:multiLevelType w:val="hybridMultilevel"/>
    <w:tmpl w:val="53CE6B0E"/>
    <w:lvl w:ilvl="0" w:tplc="86DAEA96">
      <w:start w:val="14"/>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938CB"/>
    <w:multiLevelType w:val="multilevel"/>
    <w:tmpl w:val="D0C49914"/>
    <w:lvl w:ilvl="0">
      <w:start w:val="1"/>
      <w:numFmt w:val="decimal"/>
      <w:pStyle w:val="Heading1"/>
      <w:lvlText w:val="%1"/>
      <w:lvlJc w:val="left"/>
      <w:pPr>
        <w:ind w:left="432" w:hanging="432"/>
      </w:pPr>
    </w:lvl>
    <w:lvl w:ilvl="1">
      <w:start w:val="1"/>
      <w:numFmt w:val="decimal"/>
      <w:pStyle w:val="Heading2"/>
      <w:lvlText w:val=""/>
      <w:lvlJc w:val="left"/>
      <w:rPr>
        <w:b/>
        <w:bCs w:val="0"/>
        <w:i w:val="0"/>
        <w:iCs w:val="0"/>
        <w:caps w:val="0"/>
        <w:smallCaps w:val="0"/>
        <w:strike w:val="0"/>
        <w:dstrike w:val="0"/>
        <w:noProof w:val="0"/>
        <w:vanish w:val="0"/>
        <w:color w:val="897464"/>
        <w:spacing w:val="0"/>
        <w:kern w:val="0"/>
        <w:position w:val="0"/>
        <w:u w:val="none"/>
        <w:effect w:val="none"/>
        <w:vertAlign w:val="baseline"/>
        <w:em w:val="none"/>
        <w:specVanish w:val="0"/>
      </w:r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ascii="Symbol" w:hAnsi="Courier New" w:cs="Courier New" w:hint="default"/>
        <w:sz w:val="20"/>
        <w14:glow w14:rad="0">
          <w14:srgbClr w14:val="000000"/>
        </w14:glow>
        <w14:scene3d>
          <w14:camera w14:prst="orthographicFront"/>
          <w14:lightRig w14:rig="threePt" w14:dir="t">
            <w14:rot w14:lat="0" w14:lon="0" w14:rev="0"/>
          </w14:lightRig>
        </w14:scene3d>
      </w:rPr>
    </w:lvl>
  </w:abstractNum>
  <w:abstractNum w:abstractNumId="15" w15:restartNumberingAfterBreak="0">
    <w:nsid w:val="56CD4072"/>
    <w:multiLevelType w:val="hybridMultilevel"/>
    <w:tmpl w:val="1708E998"/>
    <w:lvl w:ilvl="0" w:tplc="44E43D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576D4553"/>
    <w:multiLevelType w:val="hybridMultilevel"/>
    <w:tmpl w:val="9676AA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8" w15:restartNumberingAfterBreak="0">
    <w:nsid w:val="617C295E"/>
    <w:multiLevelType w:val="multilevel"/>
    <w:tmpl w:val="69903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6A633B5"/>
    <w:multiLevelType w:val="hybridMultilevel"/>
    <w:tmpl w:val="C3B0B464"/>
    <w:lvl w:ilvl="0" w:tplc="44E43DDE">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78C29D9"/>
    <w:multiLevelType w:val="hybridMultilevel"/>
    <w:tmpl w:val="4B7E8CD4"/>
    <w:lvl w:ilvl="0" w:tplc="0A18A2A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8783B5"/>
    <w:multiLevelType w:val="hybridMultilevel"/>
    <w:tmpl w:val="7190FE70"/>
    <w:lvl w:ilvl="0" w:tplc="A2786498">
      <w:start w:val="1"/>
      <w:numFmt w:val="bullet"/>
      <w:lvlText w:val=""/>
      <w:lvlJc w:val="left"/>
      <w:pPr>
        <w:ind w:left="720" w:hanging="360"/>
      </w:pPr>
      <w:rPr>
        <w:rFonts w:ascii="Symbol" w:hAnsi="Symbol" w:hint="default"/>
      </w:rPr>
    </w:lvl>
    <w:lvl w:ilvl="1" w:tplc="90E62A4C">
      <w:start w:val="1"/>
      <w:numFmt w:val="bullet"/>
      <w:lvlText w:val="o"/>
      <w:lvlJc w:val="left"/>
      <w:pPr>
        <w:ind w:left="1440" w:hanging="360"/>
      </w:pPr>
      <w:rPr>
        <w:rFonts w:ascii="Courier New" w:hAnsi="Courier New" w:hint="default"/>
      </w:rPr>
    </w:lvl>
    <w:lvl w:ilvl="2" w:tplc="087E27A2">
      <w:start w:val="1"/>
      <w:numFmt w:val="bullet"/>
      <w:lvlText w:val=""/>
      <w:lvlJc w:val="left"/>
      <w:pPr>
        <w:ind w:left="2160" w:hanging="360"/>
      </w:pPr>
      <w:rPr>
        <w:rFonts w:ascii="Wingdings" w:hAnsi="Wingdings" w:hint="default"/>
      </w:rPr>
    </w:lvl>
    <w:lvl w:ilvl="3" w:tplc="B664D2AC">
      <w:start w:val="1"/>
      <w:numFmt w:val="bullet"/>
      <w:lvlText w:val=""/>
      <w:lvlJc w:val="left"/>
      <w:pPr>
        <w:ind w:left="2880" w:hanging="360"/>
      </w:pPr>
      <w:rPr>
        <w:rFonts w:ascii="Symbol" w:hAnsi="Symbol" w:hint="default"/>
      </w:rPr>
    </w:lvl>
    <w:lvl w:ilvl="4" w:tplc="C6960B2E">
      <w:start w:val="1"/>
      <w:numFmt w:val="bullet"/>
      <w:lvlText w:val="o"/>
      <w:lvlJc w:val="left"/>
      <w:pPr>
        <w:ind w:left="3600" w:hanging="360"/>
      </w:pPr>
      <w:rPr>
        <w:rFonts w:ascii="Courier New" w:hAnsi="Courier New" w:hint="default"/>
      </w:rPr>
    </w:lvl>
    <w:lvl w:ilvl="5" w:tplc="5A168542">
      <w:start w:val="1"/>
      <w:numFmt w:val="bullet"/>
      <w:lvlText w:val=""/>
      <w:lvlJc w:val="left"/>
      <w:pPr>
        <w:ind w:left="4320" w:hanging="360"/>
      </w:pPr>
      <w:rPr>
        <w:rFonts w:ascii="Wingdings" w:hAnsi="Wingdings" w:hint="default"/>
      </w:rPr>
    </w:lvl>
    <w:lvl w:ilvl="6" w:tplc="C32E6614">
      <w:start w:val="1"/>
      <w:numFmt w:val="bullet"/>
      <w:lvlText w:val=""/>
      <w:lvlJc w:val="left"/>
      <w:pPr>
        <w:ind w:left="5040" w:hanging="360"/>
      </w:pPr>
      <w:rPr>
        <w:rFonts w:ascii="Symbol" w:hAnsi="Symbol" w:hint="default"/>
      </w:rPr>
    </w:lvl>
    <w:lvl w:ilvl="7" w:tplc="82847F64">
      <w:start w:val="1"/>
      <w:numFmt w:val="bullet"/>
      <w:lvlText w:val="o"/>
      <w:lvlJc w:val="left"/>
      <w:pPr>
        <w:ind w:left="5760" w:hanging="360"/>
      </w:pPr>
      <w:rPr>
        <w:rFonts w:ascii="Courier New" w:hAnsi="Courier New" w:hint="default"/>
      </w:rPr>
    </w:lvl>
    <w:lvl w:ilvl="8" w:tplc="C1D20D76">
      <w:start w:val="1"/>
      <w:numFmt w:val="bullet"/>
      <w:lvlText w:val=""/>
      <w:lvlJc w:val="left"/>
      <w:pPr>
        <w:ind w:left="6480" w:hanging="360"/>
      </w:pPr>
      <w:rPr>
        <w:rFonts w:ascii="Wingdings" w:hAnsi="Wingdings" w:hint="default"/>
      </w:rPr>
    </w:lvl>
  </w:abstractNum>
  <w:num w:numId="1" w16cid:durableId="1875116502">
    <w:abstractNumId w:val="21"/>
  </w:num>
  <w:num w:numId="2" w16cid:durableId="1344283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833693">
    <w:abstractNumId w:val="5"/>
  </w:num>
  <w:num w:numId="4" w16cid:durableId="664866030">
    <w:abstractNumId w:val="15"/>
  </w:num>
  <w:num w:numId="5" w16cid:durableId="1430128015">
    <w:abstractNumId w:val="7"/>
  </w:num>
  <w:num w:numId="6" w16cid:durableId="1872036642">
    <w:abstractNumId w:val="19"/>
  </w:num>
  <w:num w:numId="7" w16cid:durableId="1371418225">
    <w:abstractNumId w:val="3"/>
  </w:num>
  <w:num w:numId="8" w16cid:durableId="1510759077">
    <w:abstractNumId w:val="17"/>
  </w:num>
  <w:num w:numId="9" w16cid:durableId="511993440">
    <w:abstractNumId w:val="6"/>
  </w:num>
  <w:num w:numId="10" w16cid:durableId="2042434170">
    <w:abstractNumId w:val="13"/>
  </w:num>
  <w:num w:numId="11" w16cid:durableId="1558590539">
    <w:abstractNumId w:val="9"/>
  </w:num>
  <w:num w:numId="12" w16cid:durableId="1482774165">
    <w:abstractNumId w:val="16"/>
  </w:num>
  <w:num w:numId="13" w16cid:durableId="1198666055">
    <w:abstractNumId w:val="1"/>
  </w:num>
  <w:num w:numId="14" w16cid:durableId="1401708901">
    <w:abstractNumId w:val="18"/>
  </w:num>
  <w:num w:numId="15" w16cid:durableId="785127149">
    <w:abstractNumId w:val="4"/>
  </w:num>
  <w:num w:numId="16" w16cid:durableId="751387664">
    <w:abstractNumId w:val="20"/>
  </w:num>
  <w:num w:numId="17" w16cid:durableId="1194464040">
    <w:abstractNumId w:val="10"/>
  </w:num>
  <w:num w:numId="18" w16cid:durableId="1756824985">
    <w:abstractNumId w:val="8"/>
  </w:num>
  <w:num w:numId="19" w16cid:durableId="496962104">
    <w:abstractNumId w:val="2"/>
  </w:num>
  <w:num w:numId="20" w16cid:durableId="946161691">
    <w:abstractNumId w:val="11"/>
  </w:num>
  <w:num w:numId="21" w16cid:durableId="100029197">
    <w:abstractNumId w:val="0"/>
  </w:num>
  <w:num w:numId="22" w16cid:durableId="49244924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FD"/>
    <w:rsid w:val="0000661F"/>
    <w:rsid w:val="0000750E"/>
    <w:rsid w:val="00010239"/>
    <w:rsid w:val="00013539"/>
    <w:rsid w:val="000160DE"/>
    <w:rsid w:val="00016732"/>
    <w:rsid w:val="000419D1"/>
    <w:rsid w:val="000419F5"/>
    <w:rsid w:val="00042D79"/>
    <w:rsid w:val="00043148"/>
    <w:rsid w:val="00044300"/>
    <w:rsid w:val="00044827"/>
    <w:rsid w:val="00047265"/>
    <w:rsid w:val="00050680"/>
    <w:rsid w:val="00050ED6"/>
    <w:rsid w:val="000521E5"/>
    <w:rsid w:val="00054D99"/>
    <w:rsid w:val="000615C1"/>
    <w:rsid w:val="0006317B"/>
    <w:rsid w:val="000632C1"/>
    <w:rsid w:val="00063860"/>
    <w:rsid w:val="00065379"/>
    <w:rsid w:val="0006618F"/>
    <w:rsid w:val="00066ADA"/>
    <w:rsid w:val="000702CA"/>
    <w:rsid w:val="0007045F"/>
    <w:rsid w:val="00071699"/>
    <w:rsid w:val="000729C1"/>
    <w:rsid w:val="0007396F"/>
    <w:rsid w:val="000767F9"/>
    <w:rsid w:val="00076A65"/>
    <w:rsid w:val="0007766E"/>
    <w:rsid w:val="00077980"/>
    <w:rsid w:val="000809A0"/>
    <w:rsid w:val="000829EB"/>
    <w:rsid w:val="00082A16"/>
    <w:rsid w:val="00082A9B"/>
    <w:rsid w:val="0008416C"/>
    <w:rsid w:val="00086013"/>
    <w:rsid w:val="00086817"/>
    <w:rsid w:val="00092EB7"/>
    <w:rsid w:val="0009479B"/>
    <w:rsid w:val="00095AB9"/>
    <w:rsid w:val="000962A6"/>
    <w:rsid w:val="000A0D1F"/>
    <w:rsid w:val="000A0F17"/>
    <w:rsid w:val="000A7887"/>
    <w:rsid w:val="000A7A26"/>
    <w:rsid w:val="000A7F81"/>
    <w:rsid w:val="000B003E"/>
    <w:rsid w:val="000B07D7"/>
    <w:rsid w:val="000B085E"/>
    <w:rsid w:val="000B58F8"/>
    <w:rsid w:val="000B6708"/>
    <w:rsid w:val="000B6AE4"/>
    <w:rsid w:val="000C5968"/>
    <w:rsid w:val="000C59FA"/>
    <w:rsid w:val="000C779C"/>
    <w:rsid w:val="000D1340"/>
    <w:rsid w:val="000D1FB5"/>
    <w:rsid w:val="000D5B02"/>
    <w:rsid w:val="000D5FA7"/>
    <w:rsid w:val="000E1876"/>
    <w:rsid w:val="000E1DF6"/>
    <w:rsid w:val="000E6BC1"/>
    <w:rsid w:val="000F0EDE"/>
    <w:rsid w:val="000F106F"/>
    <w:rsid w:val="000F4C9B"/>
    <w:rsid w:val="00101906"/>
    <w:rsid w:val="00102E19"/>
    <w:rsid w:val="00103E31"/>
    <w:rsid w:val="0010400E"/>
    <w:rsid w:val="001055E0"/>
    <w:rsid w:val="0010659E"/>
    <w:rsid w:val="00110406"/>
    <w:rsid w:val="0011338D"/>
    <w:rsid w:val="00117AAA"/>
    <w:rsid w:val="001206F3"/>
    <w:rsid w:val="001244CA"/>
    <w:rsid w:val="00125ECF"/>
    <w:rsid w:val="00126507"/>
    <w:rsid w:val="001339FE"/>
    <w:rsid w:val="00136810"/>
    <w:rsid w:val="0013710F"/>
    <w:rsid w:val="0014063F"/>
    <w:rsid w:val="00140CDB"/>
    <w:rsid w:val="00141C34"/>
    <w:rsid w:val="0014256C"/>
    <w:rsid w:val="00142DCC"/>
    <w:rsid w:val="00142E84"/>
    <w:rsid w:val="001440D5"/>
    <w:rsid w:val="00147F62"/>
    <w:rsid w:val="0015271F"/>
    <w:rsid w:val="00155572"/>
    <w:rsid w:val="00157593"/>
    <w:rsid w:val="00157EC5"/>
    <w:rsid w:val="00160071"/>
    <w:rsid w:val="00161B0F"/>
    <w:rsid w:val="0017060C"/>
    <w:rsid w:val="00173D3D"/>
    <w:rsid w:val="00182AAF"/>
    <w:rsid w:val="001851D2"/>
    <w:rsid w:val="001863FD"/>
    <w:rsid w:val="0018700E"/>
    <w:rsid w:val="00196832"/>
    <w:rsid w:val="00196F51"/>
    <w:rsid w:val="001A322D"/>
    <w:rsid w:val="001B1FFE"/>
    <w:rsid w:val="001B2ECA"/>
    <w:rsid w:val="001B2ECE"/>
    <w:rsid w:val="001C0F23"/>
    <w:rsid w:val="001C3F5E"/>
    <w:rsid w:val="001C47E9"/>
    <w:rsid w:val="001C60F4"/>
    <w:rsid w:val="001C7721"/>
    <w:rsid w:val="001C7842"/>
    <w:rsid w:val="001D0621"/>
    <w:rsid w:val="001D140D"/>
    <w:rsid w:val="001D5719"/>
    <w:rsid w:val="001D6AFE"/>
    <w:rsid w:val="001D6B9F"/>
    <w:rsid w:val="001D6EB2"/>
    <w:rsid w:val="001D7542"/>
    <w:rsid w:val="001E213B"/>
    <w:rsid w:val="001E28D5"/>
    <w:rsid w:val="001E499B"/>
    <w:rsid w:val="001E5585"/>
    <w:rsid w:val="001F37B1"/>
    <w:rsid w:val="001F54F4"/>
    <w:rsid w:val="001F79B1"/>
    <w:rsid w:val="0020194D"/>
    <w:rsid w:val="00203647"/>
    <w:rsid w:val="00203CBA"/>
    <w:rsid w:val="00204209"/>
    <w:rsid w:val="00205357"/>
    <w:rsid w:val="00206BBD"/>
    <w:rsid w:val="00210323"/>
    <w:rsid w:val="0022335D"/>
    <w:rsid w:val="00223774"/>
    <w:rsid w:val="00226DDF"/>
    <w:rsid w:val="0023773B"/>
    <w:rsid w:val="002406DF"/>
    <w:rsid w:val="0024362E"/>
    <w:rsid w:val="002477C5"/>
    <w:rsid w:val="00250B32"/>
    <w:rsid w:val="00250F55"/>
    <w:rsid w:val="00254BBE"/>
    <w:rsid w:val="00255FD8"/>
    <w:rsid w:val="00260779"/>
    <w:rsid w:val="002636DE"/>
    <w:rsid w:val="002676C9"/>
    <w:rsid w:val="00267BBF"/>
    <w:rsid w:val="00267E99"/>
    <w:rsid w:val="0027010F"/>
    <w:rsid w:val="002715CE"/>
    <w:rsid w:val="00272225"/>
    <w:rsid w:val="00272935"/>
    <w:rsid w:val="00272A1F"/>
    <w:rsid w:val="002733D7"/>
    <w:rsid w:val="002735B1"/>
    <w:rsid w:val="00276306"/>
    <w:rsid w:val="002801F5"/>
    <w:rsid w:val="00280862"/>
    <w:rsid w:val="00282441"/>
    <w:rsid w:val="00282D1A"/>
    <w:rsid w:val="00282DC5"/>
    <w:rsid w:val="002853AC"/>
    <w:rsid w:val="00285907"/>
    <w:rsid w:val="00290725"/>
    <w:rsid w:val="00290DD6"/>
    <w:rsid w:val="0029201D"/>
    <w:rsid w:val="0029577C"/>
    <w:rsid w:val="002A10DF"/>
    <w:rsid w:val="002A436D"/>
    <w:rsid w:val="002A59FB"/>
    <w:rsid w:val="002B1A65"/>
    <w:rsid w:val="002B7D1F"/>
    <w:rsid w:val="002C1351"/>
    <w:rsid w:val="002C1E1C"/>
    <w:rsid w:val="002C26E2"/>
    <w:rsid w:val="002C3240"/>
    <w:rsid w:val="002C6BBE"/>
    <w:rsid w:val="002C6C12"/>
    <w:rsid w:val="002C7AD1"/>
    <w:rsid w:val="002C7C36"/>
    <w:rsid w:val="002D41EB"/>
    <w:rsid w:val="002D458D"/>
    <w:rsid w:val="002D4A59"/>
    <w:rsid w:val="002D67B4"/>
    <w:rsid w:val="002D7EFD"/>
    <w:rsid w:val="002E11A8"/>
    <w:rsid w:val="002E2341"/>
    <w:rsid w:val="002E455C"/>
    <w:rsid w:val="002E57B0"/>
    <w:rsid w:val="002E5802"/>
    <w:rsid w:val="002E683C"/>
    <w:rsid w:val="002E704D"/>
    <w:rsid w:val="002F0C2E"/>
    <w:rsid w:val="002F1A2E"/>
    <w:rsid w:val="002F385C"/>
    <w:rsid w:val="00300A55"/>
    <w:rsid w:val="0030401A"/>
    <w:rsid w:val="00305391"/>
    <w:rsid w:val="00310487"/>
    <w:rsid w:val="00311CEB"/>
    <w:rsid w:val="00321C0B"/>
    <w:rsid w:val="0032340C"/>
    <w:rsid w:val="00324218"/>
    <w:rsid w:val="003300C1"/>
    <w:rsid w:val="00330138"/>
    <w:rsid w:val="00330808"/>
    <w:rsid w:val="00330934"/>
    <w:rsid w:val="00331124"/>
    <w:rsid w:val="00334058"/>
    <w:rsid w:val="003342AE"/>
    <w:rsid w:val="00334733"/>
    <w:rsid w:val="0034073D"/>
    <w:rsid w:val="00345D4F"/>
    <w:rsid w:val="003479DD"/>
    <w:rsid w:val="00351AD4"/>
    <w:rsid w:val="00354D05"/>
    <w:rsid w:val="0035512F"/>
    <w:rsid w:val="00357B96"/>
    <w:rsid w:val="003615C7"/>
    <w:rsid w:val="00362331"/>
    <w:rsid w:val="003707F9"/>
    <w:rsid w:val="00374E47"/>
    <w:rsid w:val="00385621"/>
    <w:rsid w:val="00387F15"/>
    <w:rsid w:val="0039360D"/>
    <w:rsid w:val="00394D14"/>
    <w:rsid w:val="0039556B"/>
    <w:rsid w:val="00395B17"/>
    <w:rsid w:val="00396E8A"/>
    <w:rsid w:val="00396EC8"/>
    <w:rsid w:val="003A30AA"/>
    <w:rsid w:val="003A3146"/>
    <w:rsid w:val="003A4390"/>
    <w:rsid w:val="003A619A"/>
    <w:rsid w:val="003A72B7"/>
    <w:rsid w:val="003A73CF"/>
    <w:rsid w:val="003A77C4"/>
    <w:rsid w:val="003B1209"/>
    <w:rsid w:val="003B5262"/>
    <w:rsid w:val="003B5C04"/>
    <w:rsid w:val="003C0552"/>
    <w:rsid w:val="003C20C0"/>
    <w:rsid w:val="003C3B8E"/>
    <w:rsid w:val="003C3B95"/>
    <w:rsid w:val="003C51C3"/>
    <w:rsid w:val="003D3E38"/>
    <w:rsid w:val="003D65AB"/>
    <w:rsid w:val="003D6744"/>
    <w:rsid w:val="003D7BB8"/>
    <w:rsid w:val="003E3E58"/>
    <w:rsid w:val="003E3FD2"/>
    <w:rsid w:val="003F0FD8"/>
    <w:rsid w:val="003F1D05"/>
    <w:rsid w:val="003F30C9"/>
    <w:rsid w:val="003F3C00"/>
    <w:rsid w:val="003F7DDE"/>
    <w:rsid w:val="00403A82"/>
    <w:rsid w:val="00405744"/>
    <w:rsid w:val="004058D5"/>
    <w:rsid w:val="00406C79"/>
    <w:rsid w:val="00412486"/>
    <w:rsid w:val="0041508C"/>
    <w:rsid w:val="00420110"/>
    <w:rsid w:val="004202A9"/>
    <w:rsid w:val="00420E36"/>
    <w:rsid w:val="00422078"/>
    <w:rsid w:val="00422280"/>
    <w:rsid w:val="00424919"/>
    <w:rsid w:val="00431E7A"/>
    <w:rsid w:val="004324CC"/>
    <w:rsid w:val="00432660"/>
    <w:rsid w:val="0043764F"/>
    <w:rsid w:val="00437B08"/>
    <w:rsid w:val="0044136F"/>
    <w:rsid w:val="0044230C"/>
    <w:rsid w:val="0044294F"/>
    <w:rsid w:val="00442F19"/>
    <w:rsid w:val="0045015B"/>
    <w:rsid w:val="004509C2"/>
    <w:rsid w:val="0045192A"/>
    <w:rsid w:val="00451D7F"/>
    <w:rsid w:val="00453EB0"/>
    <w:rsid w:val="00453EBF"/>
    <w:rsid w:val="00455D6D"/>
    <w:rsid w:val="00457341"/>
    <w:rsid w:val="00461959"/>
    <w:rsid w:val="0046284F"/>
    <w:rsid w:val="00463C30"/>
    <w:rsid w:val="0046429A"/>
    <w:rsid w:val="00465C10"/>
    <w:rsid w:val="00472B6C"/>
    <w:rsid w:val="00475CCD"/>
    <w:rsid w:val="00476659"/>
    <w:rsid w:val="004774C8"/>
    <w:rsid w:val="00477782"/>
    <w:rsid w:val="00477E17"/>
    <w:rsid w:val="00480694"/>
    <w:rsid w:val="0048185F"/>
    <w:rsid w:val="0048294A"/>
    <w:rsid w:val="004862BB"/>
    <w:rsid w:val="00492027"/>
    <w:rsid w:val="004936E3"/>
    <w:rsid w:val="004962DA"/>
    <w:rsid w:val="00497471"/>
    <w:rsid w:val="004A08F3"/>
    <w:rsid w:val="004A194A"/>
    <w:rsid w:val="004A325E"/>
    <w:rsid w:val="004A4C77"/>
    <w:rsid w:val="004A7EEF"/>
    <w:rsid w:val="004B25FD"/>
    <w:rsid w:val="004B6A91"/>
    <w:rsid w:val="004B77CD"/>
    <w:rsid w:val="004C0933"/>
    <w:rsid w:val="004C1790"/>
    <w:rsid w:val="004D38C7"/>
    <w:rsid w:val="004D600C"/>
    <w:rsid w:val="004D771F"/>
    <w:rsid w:val="004E1A42"/>
    <w:rsid w:val="004E29D6"/>
    <w:rsid w:val="004E51C5"/>
    <w:rsid w:val="004F3608"/>
    <w:rsid w:val="00503162"/>
    <w:rsid w:val="0050326C"/>
    <w:rsid w:val="00505F50"/>
    <w:rsid w:val="00506FE5"/>
    <w:rsid w:val="005101A5"/>
    <w:rsid w:val="00512CDA"/>
    <w:rsid w:val="005168BD"/>
    <w:rsid w:val="005207B2"/>
    <w:rsid w:val="00520853"/>
    <w:rsid w:val="005251B9"/>
    <w:rsid w:val="00526364"/>
    <w:rsid w:val="00532092"/>
    <w:rsid w:val="00532C68"/>
    <w:rsid w:val="005353FB"/>
    <w:rsid w:val="0053733F"/>
    <w:rsid w:val="00545C51"/>
    <w:rsid w:val="00546767"/>
    <w:rsid w:val="00552C7D"/>
    <w:rsid w:val="00552E7C"/>
    <w:rsid w:val="005554C9"/>
    <w:rsid w:val="005560A4"/>
    <w:rsid w:val="005606B5"/>
    <w:rsid w:val="00563FE6"/>
    <w:rsid w:val="00565379"/>
    <w:rsid w:val="00565C95"/>
    <w:rsid w:val="0056744F"/>
    <w:rsid w:val="00567604"/>
    <w:rsid w:val="00571124"/>
    <w:rsid w:val="00574BEF"/>
    <w:rsid w:val="00580FA8"/>
    <w:rsid w:val="00581E85"/>
    <w:rsid w:val="0058333E"/>
    <w:rsid w:val="00584826"/>
    <w:rsid w:val="00590B3A"/>
    <w:rsid w:val="00591841"/>
    <w:rsid w:val="005924FE"/>
    <w:rsid w:val="0059650E"/>
    <w:rsid w:val="00597B32"/>
    <w:rsid w:val="005A0EE9"/>
    <w:rsid w:val="005A114C"/>
    <w:rsid w:val="005A203D"/>
    <w:rsid w:val="005A3B2D"/>
    <w:rsid w:val="005A620E"/>
    <w:rsid w:val="005A7B61"/>
    <w:rsid w:val="005B0F7B"/>
    <w:rsid w:val="005B2B1A"/>
    <w:rsid w:val="005B35C3"/>
    <w:rsid w:val="005B5557"/>
    <w:rsid w:val="005C2269"/>
    <w:rsid w:val="005C33D4"/>
    <w:rsid w:val="005D04B1"/>
    <w:rsid w:val="005D05BF"/>
    <w:rsid w:val="005D1738"/>
    <w:rsid w:val="005D531D"/>
    <w:rsid w:val="005D54CF"/>
    <w:rsid w:val="005D6CB8"/>
    <w:rsid w:val="005E002C"/>
    <w:rsid w:val="005E15E5"/>
    <w:rsid w:val="005E20C3"/>
    <w:rsid w:val="005E20F8"/>
    <w:rsid w:val="005E283F"/>
    <w:rsid w:val="005E2A1B"/>
    <w:rsid w:val="005E35D8"/>
    <w:rsid w:val="005E3D73"/>
    <w:rsid w:val="005E4E08"/>
    <w:rsid w:val="005E4F5A"/>
    <w:rsid w:val="005E519F"/>
    <w:rsid w:val="005F0D74"/>
    <w:rsid w:val="005F1C48"/>
    <w:rsid w:val="005F4A85"/>
    <w:rsid w:val="006005C6"/>
    <w:rsid w:val="006032DD"/>
    <w:rsid w:val="0060359D"/>
    <w:rsid w:val="006062BA"/>
    <w:rsid w:val="0060655D"/>
    <w:rsid w:val="0060675F"/>
    <w:rsid w:val="00606AA4"/>
    <w:rsid w:val="00611AA3"/>
    <w:rsid w:val="006122B6"/>
    <w:rsid w:val="0061278E"/>
    <w:rsid w:val="006128A0"/>
    <w:rsid w:val="006159CC"/>
    <w:rsid w:val="0061797B"/>
    <w:rsid w:val="00620433"/>
    <w:rsid w:val="006221AF"/>
    <w:rsid w:val="00624B3F"/>
    <w:rsid w:val="00625BBB"/>
    <w:rsid w:val="00631F84"/>
    <w:rsid w:val="0063217D"/>
    <w:rsid w:val="0063332C"/>
    <w:rsid w:val="006368A3"/>
    <w:rsid w:val="00637E12"/>
    <w:rsid w:val="00640182"/>
    <w:rsid w:val="0064137C"/>
    <w:rsid w:val="00644028"/>
    <w:rsid w:val="00645EC1"/>
    <w:rsid w:val="00646E13"/>
    <w:rsid w:val="0065141A"/>
    <w:rsid w:val="00652A4B"/>
    <w:rsid w:val="006531F6"/>
    <w:rsid w:val="00654302"/>
    <w:rsid w:val="006546C5"/>
    <w:rsid w:val="006622F6"/>
    <w:rsid w:val="006631F5"/>
    <w:rsid w:val="0066511A"/>
    <w:rsid w:val="006663B9"/>
    <w:rsid w:val="00674D87"/>
    <w:rsid w:val="00677A6B"/>
    <w:rsid w:val="00680ED1"/>
    <w:rsid w:val="0068235A"/>
    <w:rsid w:val="0068315C"/>
    <w:rsid w:val="0069377F"/>
    <w:rsid w:val="00694ABE"/>
    <w:rsid w:val="006A03DB"/>
    <w:rsid w:val="006A0789"/>
    <w:rsid w:val="006A0BC4"/>
    <w:rsid w:val="006A1436"/>
    <w:rsid w:val="006A25B4"/>
    <w:rsid w:val="006A50FD"/>
    <w:rsid w:val="006A7F60"/>
    <w:rsid w:val="006B13B4"/>
    <w:rsid w:val="006C10AD"/>
    <w:rsid w:val="006C1606"/>
    <w:rsid w:val="006C25AF"/>
    <w:rsid w:val="006C5DC8"/>
    <w:rsid w:val="006C6BD2"/>
    <w:rsid w:val="006D01A1"/>
    <w:rsid w:val="006D400E"/>
    <w:rsid w:val="006E0DF2"/>
    <w:rsid w:val="006E2146"/>
    <w:rsid w:val="006E2A28"/>
    <w:rsid w:val="006E33B1"/>
    <w:rsid w:val="006E473C"/>
    <w:rsid w:val="006E6061"/>
    <w:rsid w:val="006E6607"/>
    <w:rsid w:val="006E7AB5"/>
    <w:rsid w:val="006F1916"/>
    <w:rsid w:val="006F2210"/>
    <w:rsid w:val="006F4893"/>
    <w:rsid w:val="006F4DC9"/>
    <w:rsid w:val="006F7838"/>
    <w:rsid w:val="007055CD"/>
    <w:rsid w:val="007062BA"/>
    <w:rsid w:val="007100CA"/>
    <w:rsid w:val="007147AB"/>
    <w:rsid w:val="00716F34"/>
    <w:rsid w:val="0072171B"/>
    <w:rsid w:val="00725180"/>
    <w:rsid w:val="00727D51"/>
    <w:rsid w:val="00730FB3"/>
    <w:rsid w:val="007335D6"/>
    <w:rsid w:val="00734AA9"/>
    <w:rsid w:val="00736CB5"/>
    <w:rsid w:val="007371EB"/>
    <w:rsid w:val="00740B46"/>
    <w:rsid w:val="00741943"/>
    <w:rsid w:val="00741CB1"/>
    <w:rsid w:val="007427D0"/>
    <w:rsid w:val="00745073"/>
    <w:rsid w:val="00745245"/>
    <w:rsid w:val="00750FC0"/>
    <w:rsid w:val="0075240A"/>
    <w:rsid w:val="007556C3"/>
    <w:rsid w:val="00756CDD"/>
    <w:rsid w:val="007616A0"/>
    <w:rsid w:val="0076499B"/>
    <w:rsid w:val="00764B3E"/>
    <w:rsid w:val="007661D3"/>
    <w:rsid w:val="00767016"/>
    <w:rsid w:val="00767675"/>
    <w:rsid w:val="00767A00"/>
    <w:rsid w:val="00773C11"/>
    <w:rsid w:val="007759AC"/>
    <w:rsid w:val="007769A8"/>
    <w:rsid w:val="00776B80"/>
    <w:rsid w:val="00783600"/>
    <w:rsid w:val="00795744"/>
    <w:rsid w:val="007969EC"/>
    <w:rsid w:val="00796F42"/>
    <w:rsid w:val="00797065"/>
    <w:rsid w:val="007A2F57"/>
    <w:rsid w:val="007A347E"/>
    <w:rsid w:val="007A7221"/>
    <w:rsid w:val="007A7CB8"/>
    <w:rsid w:val="007B64B3"/>
    <w:rsid w:val="007B6BA9"/>
    <w:rsid w:val="007C2E90"/>
    <w:rsid w:val="007C3170"/>
    <w:rsid w:val="007C379A"/>
    <w:rsid w:val="007C5C52"/>
    <w:rsid w:val="007C6081"/>
    <w:rsid w:val="007C751E"/>
    <w:rsid w:val="007D04F0"/>
    <w:rsid w:val="007D3856"/>
    <w:rsid w:val="007D4B50"/>
    <w:rsid w:val="007D5841"/>
    <w:rsid w:val="007D610C"/>
    <w:rsid w:val="007D7E46"/>
    <w:rsid w:val="007E006A"/>
    <w:rsid w:val="007E01D4"/>
    <w:rsid w:val="007E2B22"/>
    <w:rsid w:val="007E2CAD"/>
    <w:rsid w:val="007E4BE5"/>
    <w:rsid w:val="007E67F4"/>
    <w:rsid w:val="007E7043"/>
    <w:rsid w:val="007E75E3"/>
    <w:rsid w:val="007F18C1"/>
    <w:rsid w:val="007F1FF0"/>
    <w:rsid w:val="007F2860"/>
    <w:rsid w:val="007F2DAC"/>
    <w:rsid w:val="007F3BCA"/>
    <w:rsid w:val="007F3C1B"/>
    <w:rsid w:val="007F57C1"/>
    <w:rsid w:val="007F7062"/>
    <w:rsid w:val="007F767B"/>
    <w:rsid w:val="008009C4"/>
    <w:rsid w:val="00800E25"/>
    <w:rsid w:val="008029BF"/>
    <w:rsid w:val="0080323A"/>
    <w:rsid w:val="008049D6"/>
    <w:rsid w:val="00804C19"/>
    <w:rsid w:val="00804FAB"/>
    <w:rsid w:val="008062AB"/>
    <w:rsid w:val="00814C93"/>
    <w:rsid w:val="008166B8"/>
    <w:rsid w:val="00817E53"/>
    <w:rsid w:val="00820E93"/>
    <w:rsid w:val="00833C48"/>
    <w:rsid w:val="00834418"/>
    <w:rsid w:val="00836EB3"/>
    <w:rsid w:val="00837CF9"/>
    <w:rsid w:val="00837E24"/>
    <w:rsid w:val="008451A7"/>
    <w:rsid w:val="008454C9"/>
    <w:rsid w:val="00850C06"/>
    <w:rsid w:val="00852C90"/>
    <w:rsid w:val="00854040"/>
    <w:rsid w:val="0085677A"/>
    <w:rsid w:val="00857E6D"/>
    <w:rsid w:val="00860084"/>
    <w:rsid w:val="00860BF9"/>
    <w:rsid w:val="00860C8E"/>
    <w:rsid w:val="0086108D"/>
    <w:rsid w:val="00861A06"/>
    <w:rsid w:val="0086401C"/>
    <w:rsid w:val="00865452"/>
    <w:rsid w:val="00866A16"/>
    <w:rsid w:val="00867260"/>
    <w:rsid w:val="00867ACB"/>
    <w:rsid w:val="00871573"/>
    <w:rsid w:val="00872559"/>
    <w:rsid w:val="00873729"/>
    <w:rsid w:val="00875833"/>
    <w:rsid w:val="00880450"/>
    <w:rsid w:val="00880871"/>
    <w:rsid w:val="0088211F"/>
    <w:rsid w:val="008821DA"/>
    <w:rsid w:val="0088385B"/>
    <w:rsid w:val="00883DC3"/>
    <w:rsid w:val="00885699"/>
    <w:rsid w:val="00885ACE"/>
    <w:rsid w:val="00887012"/>
    <w:rsid w:val="00891B03"/>
    <w:rsid w:val="008947F6"/>
    <w:rsid w:val="00895020"/>
    <w:rsid w:val="0089543D"/>
    <w:rsid w:val="008A01F4"/>
    <w:rsid w:val="008A2A53"/>
    <w:rsid w:val="008A5B17"/>
    <w:rsid w:val="008B0183"/>
    <w:rsid w:val="008B0C0C"/>
    <w:rsid w:val="008B0DDC"/>
    <w:rsid w:val="008B1475"/>
    <w:rsid w:val="008B19D6"/>
    <w:rsid w:val="008B2D1D"/>
    <w:rsid w:val="008B426D"/>
    <w:rsid w:val="008B6741"/>
    <w:rsid w:val="008B70AD"/>
    <w:rsid w:val="008C1441"/>
    <w:rsid w:val="008C1DFC"/>
    <w:rsid w:val="008C34CA"/>
    <w:rsid w:val="008C7897"/>
    <w:rsid w:val="008D1433"/>
    <w:rsid w:val="008D2FFD"/>
    <w:rsid w:val="008D4F43"/>
    <w:rsid w:val="008D61E7"/>
    <w:rsid w:val="008D6D08"/>
    <w:rsid w:val="008D7C7E"/>
    <w:rsid w:val="008E5827"/>
    <w:rsid w:val="008E6231"/>
    <w:rsid w:val="008F0674"/>
    <w:rsid w:val="008F1F9A"/>
    <w:rsid w:val="008F244E"/>
    <w:rsid w:val="008F55E4"/>
    <w:rsid w:val="008F6635"/>
    <w:rsid w:val="008F7A20"/>
    <w:rsid w:val="0090117F"/>
    <w:rsid w:val="00901766"/>
    <w:rsid w:val="0090184C"/>
    <w:rsid w:val="00902617"/>
    <w:rsid w:val="00903B2E"/>
    <w:rsid w:val="00903D97"/>
    <w:rsid w:val="00906F91"/>
    <w:rsid w:val="00907906"/>
    <w:rsid w:val="00910779"/>
    <w:rsid w:val="009110B1"/>
    <w:rsid w:val="009110C9"/>
    <w:rsid w:val="0091304D"/>
    <w:rsid w:val="0091369C"/>
    <w:rsid w:val="00914CF0"/>
    <w:rsid w:val="00916411"/>
    <w:rsid w:val="009261AA"/>
    <w:rsid w:val="00927914"/>
    <w:rsid w:val="00927BFC"/>
    <w:rsid w:val="009302D4"/>
    <w:rsid w:val="009410E6"/>
    <w:rsid w:val="009429D5"/>
    <w:rsid w:val="00942E71"/>
    <w:rsid w:val="00946423"/>
    <w:rsid w:val="009467E7"/>
    <w:rsid w:val="009473BC"/>
    <w:rsid w:val="00953FCD"/>
    <w:rsid w:val="00954E3A"/>
    <w:rsid w:val="009647CE"/>
    <w:rsid w:val="00964D80"/>
    <w:rsid w:val="009655D6"/>
    <w:rsid w:val="00967013"/>
    <w:rsid w:val="009702E5"/>
    <w:rsid w:val="0097647A"/>
    <w:rsid w:val="00976AA8"/>
    <w:rsid w:val="00981D9F"/>
    <w:rsid w:val="009826F4"/>
    <w:rsid w:val="00983908"/>
    <w:rsid w:val="0098471A"/>
    <w:rsid w:val="00984955"/>
    <w:rsid w:val="00984D96"/>
    <w:rsid w:val="009875B8"/>
    <w:rsid w:val="00990290"/>
    <w:rsid w:val="00990E45"/>
    <w:rsid w:val="00993C7C"/>
    <w:rsid w:val="0099507F"/>
    <w:rsid w:val="00997896"/>
    <w:rsid w:val="009A2B89"/>
    <w:rsid w:val="009A3A24"/>
    <w:rsid w:val="009A64E9"/>
    <w:rsid w:val="009A7C1C"/>
    <w:rsid w:val="009B054B"/>
    <w:rsid w:val="009B60BA"/>
    <w:rsid w:val="009B7A7F"/>
    <w:rsid w:val="009B7EF6"/>
    <w:rsid w:val="009B7F6E"/>
    <w:rsid w:val="009C11FE"/>
    <w:rsid w:val="009C721D"/>
    <w:rsid w:val="009C7A80"/>
    <w:rsid w:val="009D0736"/>
    <w:rsid w:val="009D3017"/>
    <w:rsid w:val="009E4DF2"/>
    <w:rsid w:val="009E6864"/>
    <w:rsid w:val="009E686F"/>
    <w:rsid w:val="009E7F3E"/>
    <w:rsid w:val="009F62F3"/>
    <w:rsid w:val="00A00169"/>
    <w:rsid w:val="00A02CF1"/>
    <w:rsid w:val="00A03500"/>
    <w:rsid w:val="00A03D1E"/>
    <w:rsid w:val="00A05B57"/>
    <w:rsid w:val="00A069EF"/>
    <w:rsid w:val="00A079C4"/>
    <w:rsid w:val="00A12690"/>
    <w:rsid w:val="00A17D0E"/>
    <w:rsid w:val="00A2030E"/>
    <w:rsid w:val="00A231D6"/>
    <w:rsid w:val="00A272CF"/>
    <w:rsid w:val="00A354E0"/>
    <w:rsid w:val="00A37C89"/>
    <w:rsid w:val="00A45F9C"/>
    <w:rsid w:val="00A5054F"/>
    <w:rsid w:val="00A509A9"/>
    <w:rsid w:val="00A509FA"/>
    <w:rsid w:val="00A57107"/>
    <w:rsid w:val="00A576A1"/>
    <w:rsid w:val="00A629C4"/>
    <w:rsid w:val="00A635CE"/>
    <w:rsid w:val="00A64C13"/>
    <w:rsid w:val="00A64E89"/>
    <w:rsid w:val="00A66039"/>
    <w:rsid w:val="00A669D3"/>
    <w:rsid w:val="00A70B41"/>
    <w:rsid w:val="00A70CD1"/>
    <w:rsid w:val="00A730F4"/>
    <w:rsid w:val="00A73288"/>
    <w:rsid w:val="00A742A2"/>
    <w:rsid w:val="00A7448E"/>
    <w:rsid w:val="00A84096"/>
    <w:rsid w:val="00A84567"/>
    <w:rsid w:val="00A901E8"/>
    <w:rsid w:val="00A91015"/>
    <w:rsid w:val="00A921DA"/>
    <w:rsid w:val="00A94E05"/>
    <w:rsid w:val="00A97A69"/>
    <w:rsid w:val="00A97DA4"/>
    <w:rsid w:val="00AA0032"/>
    <w:rsid w:val="00AA09C5"/>
    <w:rsid w:val="00AA25EF"/>
    <w:rsid w:val="00AA3288"/>
    <w:rsid w:val="00AB0A50"/>
    <w:rsid w:val="00AB4A28"/>
    <w:rsid w:val="00AB563A"/>
    <w:rsid w:val="00AC26C8"/>
    <w:rsid w:val="00AC3852"/>
    <w:rsid w:val="00AC7230"/>
    <w:rsid w:val="00AD045C"/>
    <w:rsid w:val="00AD2548"/>
    <w:rsid w:val="00AD262D"/>
    <w:rsid w:val="00AE116F"/>
    <w:rsid w:val="00AE15B7"/>
    <w:rsid w:val="00AE2F2A"/>
    <w:rsid w:val="00AE3CB1"/>
    <w:rsid w:val="00AE7120"/>
    <w:rsid w:val="00AF0582"/>
    <w:rsid w:val="00AF0C6C"/>
    <w:rsid w:val="00AF250C"/>
    <w:rsid w:val="00AF3349"/>
    <w:rsid w:val="00AF39DE"/>
    <w:rsid w:val="00AF5DBF"/>
    <w:rsid w:val="00AF62D9"/>
    <w:rsid w:val="00B001D8"/>
    <w:rsid w:val="00B01A88"/>
    <w:rsid w:val="00B023B0"/>
    <w:rsid w:val="00B05527"/>
    <w:rsid w:val="00B10642"/>
    <w:rsid w:val="00B13EBD"/>
    <w:rsid w:val="00B14906"/>
    <w:rsid w:val="00B15F70"/>
    <w:rsid w:val="00B20E21"/>
    <w:rsid w:val="00B2101A"/>
    <w:rsid w:val="00B21940"/>
    <w:rsid w:val="00B21EDB"/>
    <w:rsid w:val="00B224E0"/>
    <w:rsid w:val="00B23C8B"/>
    <w:rsid w:val="00B32A7D"/>
    <w:rsid w:val="00B36E1E"/>
    <w:rsid w:val="00B4066B"/>
    <w:rsid w:val="00B43379"/>
    <w:rsid w:val="00B44C2F"/>
    <w:rsid w:val="00B45073"/>
    <w:rsid w:val="00B45F4E"/>
    <w:rsid w:val="00B5356F"/>
    <w:rsid w:val="00B551D6"/>
    <w:rsid w:val="00B55854"/>
    <w:rsid w:val="00B5596C"/>
    <w:rsid w:val="00B56367"/>
    <w:rsid w:val="00B57002"/>
    <w:rsid w:val="00B57D5C"/>
    <w:rsid w:val="00B62086"/>
    <w:rsid w:val="00B7039F"/>
    <w:rsid w:val="00B777AC"/>
    <w:rsid w:val="00B77CFB"/>
    <w:rsid w:val="00B80F32"/>
    <w:rsid w:val="00B82C2D"/>
    <w:rsid w:val="00B82FB3"/>
    <w:rsid w:val="00B83A2B"/>
    <w:rsid w:val="00B9161C"/>
    <w:rsid w:val="00B91837"/>
    <w:rsid w:val="00B934FE"/>
    <w:rsid w:val="00B942FD"/>
    <w:rsid w:val="00B94F38"/>
    <w:rsid w:val="00B96502"/>
    <w:rsid w:val="00B96A0F"/>
    <w:rsid w:val="00BB4226"/>
    <w:rsid w:val="00BB77A6"/>
    <w:rsid w:val="00BD360D"/>
    <w:rsid w:val="00BD50B3"/>
    <w:rsid w:val="00BE0E5D"/>
    <w:rsid w:val="00BE2A7B"/>
    <w:rsid w:val="00BE2AB1"/>
    <w:rsid w:val="00BF02D6"/>
    <w:rsid w:val="00BF1E91"/>
    <w:rsid w:val="00BF2BB8"/>
    <w:rsid w:val="00BF3335"/>
    <w:rsid w:val="00BF3FDE"/>
    <w:rsid w:val="00BF4088"/>
    <w:rsid w:val="00BF6524"/>
    <w:rsid w:val="00BF7810"/>
    <w:rsid w:val="00C010A9"/>
    <w:rsid w:val="00C01C83"/>
    <w:rsid w:val="00C02AD2"/>
    <w:rsid w:val="00C12A0E"/>
    <w:rsid w:val="00C15A6A"/>
    <w:rsid w:val="00C16EB9"/>
    <w:rsid w:val="00C172BE"/>
    <w:rsid w:val="00C21AEC"/>
    <w:rsid w:val="00C221FC"/>
    <w:rsid w:val="00C22931"/>
    <w:rsid w:val="00C23696"/>
    <w:rsid w:val="00C324C9"/>
    <w:rsid w:val="00C326AB"/>
    <w:rsid w:val="00C35F82"/>
    <w:rsid w:val="00C43D88"/>
    <w:rsid w:val="00C45B77"/>
    <w:rsid w:val="00C50FF0"/>
    <w:rsid w:val="00C52844"/>
    <w:rsid w:val="00C603D3"/>
    <w:rsid w:val="00C619B3"/>
    <w:rsid w:val="00C61DB7"/>
    <w:rsid w:val="00C630F2"/>
    <w:rsid w:val="00C64D48"/>
    <w:rsid w:val="00C64E99"/>
    <w:rsid w:val="00C8002B"/>
    <w:rsid w:val="00C814DD"/>
    <w:rsid w:val="00C85CD0"/>
    <w:rsid w:val="00C86E43"/>
    <w:rsid w:val="00C94725"/>
    <w:rsid w:val="00C9516E"/>
    <w:rsid w:val="00CA1BCB"/>
    <w:rsid w:val="00CA27D9"/>
    <w:rsid w:val="00CA3357"/>
    <w:rsid w:val="00CA45BD"/>
    <w:rsid w:val="00CA5ECF"/>
    <w:rsid w:val="00CA662A"/>
    <w:rsid w:val="00CB3A1B"/>
    <w:rsid w:val="00CB4DD5"/>
    <w:rsid w:val="00CB5C44"/>
    <w:rsid w:val="00CB6CF6"/>
    <w:rsid w:val="00CC02E9"/>
    <w:rsid w:val="00CC28CD"/>
    <w:rsid w:val="00CC2F0E"/>
    <w:rsid w:val="00CC611B"/>
    <w:rsid w:val="00CC6827"/>
    <w:rsid w:val="00CC7B8F"/>
    <w:rsid w:val="00CD39C9"/>
    <w:rsid w:val="00CD3EAF"/>
    <w:rsid w:val="00CD492D"/>
    <w:rsid w:val="00CE1589"/>
    <w:rsid w:val="00CE2232"/>
    <w:rsid w:val="00CE27DE"/>
    <w:rsid w:val="00CE4990"/>
    <w:rsid w:val="00CE4AE5"/>
    <w:rsid w:val="00CE4D2C"/>
    <w:rsid w:val="00CF1653"/>
    <w:rsid w:val="00CF22E5"/>
    <w:rsid w:val="00CF3265"/>
    <w:rsid w:val="00CF6C1D"/>
    <w:rsid w:val="00D0043D"/>
    <w:rsid w:val="00D0196D"/>
    <w:rsid w:val="00D02A36"/>
    <w:rsid w:val="00D046B6"/>
    <w:rsid w:val="00D04D50"/>
    <w:rsid w:val="00D06D4B"/>
    <w:rsid w:val="00D10845"/>
    <w:rsid w:val="00D10F02"/>
    <w:rsid w:val="00D125FA"/>
    <w:rsid w:val="00D132B6"/>
    <w:rsid w:val="00D13763"/>
    <w:rsid w:val="00D13775"/>
    <w:rsid w:val="00D13881"/>
    <w:rsid w:val="00D13C9F"/>
    <w:rsid w:val="00D145AC"/>
    <w:rsid w:val="00D201BA"/>
    <w:rsid w:val="00D206F3"/>
    <w:rsid w:val="00D20E77"/>
    <w:rsid w:val="00D2271A"/>
    <w:rsid w:val="00D245A0"/>
    <w:rsid w:val="00D27910"/>
    <w:rsid w:val="00D27D8D"/>
    <w:rsid w:val="00D30775"/>
    <w:rsid w:val="00D3148C"/>
    <w:rsid w:val="00D317A7"/>
    <w:rsid w:val="00D33439"/>
    <w:rsid w:val="00D33835"/>
    <w:rsid w:val="00D33F06"/>
    <w:rsid w:val="00D3400E"/>
    <w:rsid w:val="00D36018"/>
    <w:rsid w:val="00D36906"/>
    <w:rsid w:val="00D4090B"/>
    <w:rsid w:val="00D4216D"/>
    <w:rsid w:val="00D43BFD"/>
    <w:rsid w:val="00D4461C"/>
    <w:rsid w:val="00D45426"/>
    <w:rsid w:val="00D510A0"/>
    <w:rsid w:val="00D511C4"/>
    <w:rsid w:val="00D52BCD"/>
    <w:rsid w:val="00D52DA2"/>
    <w:rsid w:val="00D5422F"/>
    <w:rsid w:val="00D5497D"/>
    <w:rsid w:val="00D570D8"/>
    <w:rsid w:val="00D634A6"/>
    <w:rsid w:val="00D63F0F"/>
    <w:rsid w:val="00D65191"/>
    <w:rsid w:val="00D71655"/>
    <w:rsid w:val="00D743F4"/>
    <w:rsid w:val="00D7612D"/>
    <w:rsid w:val="00D76AE5"/>
    <w:rsid w:val="00D817FD"/>
    <w:rsid w:val="00D860B9"/>
    <w:rsid w:val="00D924A6"/>
    <w:rsid w:val="00D928BA"/>
    <w:rsid w:val="00DA43D6"/>
    <w:rsid w:val="00DA522B"/>
    <w:rsid w:val="00DA6129"/>
    <w:rsid w:val="00DA6338"/>
    <w:rsid w:val="00DA752F"/>
    <w:rsid w:val="00DA77A4"/>
    <w:rsid w:val="00DB036E"/>
    <w:rsid w:val="00DB0565"/>
    <w:rsid w:val="00DB7092"/>
    <w:rsid w:val="00DC1B46"/>
    <w:rsid w:val="00DC461A"/>
    <w:rsid w:val="00DC5F91"/>
    <w:rsid w:val="00DC65CF"/>
    <w:rsid w:val="00DC7507"/>
    <w:rsid w:val="00DD1C21"/>
    <w:rsid w:val="00DD3E59"/>
    <w:rsid w:val="00DE1A4F"/>
    <w:rsid w:val="00DE22A5"/>
    <w:rsid w:val="00DE2707"/>
    <w:rsid w:val="00DE3DB7"/>
    <w:rsid w:val="00DE56DE"/>
    <w:rsid w:val="00E0145E"/>
    <w:rsid w:val="00E016F7"/>
    <w:rsid w:val="00E029F1"/>
    <w:rsid w:val="00E02DBB"/>
    <w:rsid w:val="00E1272C"/>
    <w:rsid w:val="00E12C6E"/>
    <w:rsid w:val="00E12D2A"/>
    <w:rsid w:val="00E149DC"/>
    <w:rsid w:val="00E20D33"/>
    <w:rsid w:val="00E23098"/>
    <w:rsid w:val="00E2414A"/>
    <w:rsid w:val="00E279DB"/>
    <w:rsid w:val="00E3059C"/>
    <w:rsid w:val="00E309A9"/>
    <w:rsid w:val="00E30B36"/>
    <w:rsid w:val="00E30E29"/>
    <w:rsid w:val="00E33077"/>
    <w:rsid w:val="00E3421B"/>
    <w:rsid w:val="00E36BB2"/>
    <w:rsid w:val="00E40C0F"/>
    <w:rsid w:val="00E42AFB"/>
    <w:rsid w:val="00E456DA"/>
    <w:rsid w:val="00E47666"/>
    <w:rsid w:val="00E5450B"/>
    <w:rsid w:val="00E55056"/>
    <w:rsid w:val="00E62973"/>
    <w:rsid w:val="00E62CC7"/>
    <w:rsid w:val="00E65059"/>
    <w:rsid w:val="00E66D7D"/>
    <w:rsid w:val="00E76A7B"/>
    <w:rsid w:val="00E77B2F"/>
    <w:rsid w:val="00E820AE"/>
    <w:rsid w:val="00E822BF"/>
    <w:rsid w:val="00E825B2"/>
    <w:rsid w:val="00E85D93"/>
    <w:rsid w:val="00E865D8"/>
    <w:rsid w:val="00E901B8"/>
    <w:rsid w:val="00E91855"/>
    <w:rsid w:val="00E922E7"/>
    <w:rsid w:val="00E93379"/>
    <w:rsid w:val="00E933EE"/>
    <w:rsid w:val="00E9352F"/>
    <w:rsid w:val="00E94EFF"/>
    <w:rsid w:val="00E95A97"/>
    <w:rsid w:val="00E96250"/>
    <w:rsid w:val="00E96B5C"/>
    <w:rsid w:val="00E972B6"/>
    <w:rsid w:val="00EA144E"/>
    <w:rsid w:val="00EA1F51"/>
    <w:rsid w:val="00EA33DE"/>
    <w:rsid w:val="00EA3DB6"/>
    <w:rsid w:val="00EA4C90"/>
    <w:rsid w:val="00EB26BD"/>
    <w:rsid w:val="00EB30B8"/>
    <w:rsid w:val="00EB3CA3"/>
    <w:rsid w:val="00EB6B7B"/>
    <w:rsid w:val="00EB7CBF"/>
    <w:rsid w:val="00EC1DE2"/>
    <w:rsid w:val="00EC3601"/>
    <w:rsid w:val="00EC4C79"/>
    <w:rsid w:val="00ED164E"/>
    <w:rsid w:val="00ED2F5E"/>
    <w:rsid w:val="00EE2354"/>
    <w:rsid w:val="00EF4D0B"/>
    <w:rsid w:val="00F00EB3"/>
    <w:rsid w:val="00F0185D"/>
    <w:rsid w:val="00F04DB6"/>
    <w:rsid w:val="00F12EF9"/>
    <w:rsid w:val="00F13695"/>
    <w:rsid w:val="00F14E51"/>
    <w:rsid w:val="00F17EB0"/>
    <w:rsid w:val="00F228CA"/>
    <w:rsid w:val="00F22FAB"/>
    <w:rsid w:val="00F23F0C"/>
    <w:rsid w:val="00F24798"/>
    <w:rsid w:val="00F24EE3"/>
    <w:rsid w:val="00F30F98"/>
    <w:rsid w:val="00F32D24"/>
    <w:rsid w:val="00F365A1"/>
    <w:rsid w:val="00F373C7"/>
    <w:rsid w:val="00F40953"/>
    <w:rsid w:val="00F42082"/>
    <w:rsid w:val="00F4334B"/>
    <w:rsid w:val="00F4434B"/>
    <w:rsid w:val="00F45AC7"/>
    <w:rsid w:val="00F45C7F"/>
    <w:rsid w:val="00F50218"/>
    <w:rsid w:val="00F5278D"/>
    <w:rsid w:val="00F569A4"/>
    <w:rsid w:val="00F602F6"/>
    <w:rsid w:val="00F629F2"/>
    <w:rsid w:val="00F62BB7"/>
    <w:rsid w:val="00F63C4B"/>
    <w:rsid w:val="00F63D3F"/>
    <w:rsid w:val="00F657E6"/>
    <w:rsid w:val="00F67461"/>
    <w:rsid w:val="00F71B1C"/>
    <w:rsid w:val="00F72416"/>
    <w:rsid w:val="00F75C56"/>
    <w:rsid w:val="00F76D7F"/>
    <w:rsid w:val="00F77BD4"/>
    <w:rsid w:val="00F83E78"/>
    <w:rsid w:val="00F844D8"/>
    <w:rsid w:val="00F87477"/>
    <w:rsid w:val="00F9461D"/>
    <w:rsid w:val="00F97A1B"/>
    <w:rsid w:val="00FA0F75"/>
    <w:rsid w:val="00FA3C98"/>
    <w:rsid w:val="00FA66B3"/>
    <w:rsid w:val="00FA6B1A"/>
    <w:rsid w:val="00FA74DE"/>
    <w:rsid w:val="00FB1B99"/>
    <w:rsid w:val="00FB37B9"/>
    <w:rsid w:val="00FC07BD"/>
    <w:rsid w:val="00FC08F4"/>
    <w:rsid w:val="00FC13B5"/>
    <w:rsid w:val="00FC4DF6"/>
    <w:rsid w:val="00FC648A"/>
    <w:rsid w:val="00FC6C2D"/>
    <w:rsid w:val="00FC7E42"/>
    <w:rsid w:val="00FD0456"/>
    <w:rsid w:val="00FD6209"/>
    <w:rsid w:val="00FE0ADE"/>
    <w:rsid w:val="00FE6634"/>
    <w:rsid w:val="00FF0844"/>
    <w:rsid w:val="00FF08E2"/>
    <w:rsid w:val="00FF412F"/>
    <w:rsid w:val="00FF4383"/>
    <w:rsid w:val="00FF49C3"/>
    <w:rsid w:val="00FF4E3B"/>
    <w:rsid w:val="00FF5497"/>
    <w:rsid w:val="011C909A"/>
    <w:rsid w:val="01256E5D"/>
    <w:rsid w:val="019C2FF2"/>
    <w:rsid w:val="019E6DA6"/>
    <w:rsid w:val="01FEBB98"/>
    <w:rsid w:val="02178403"/>
    <w:rsid w:val="025A69E8"/>
    <w:rsid w:val="025FFD40"/>
    <w:rsid w:val="0405FD37"/>
    <w:rsid w:val="04B693BD"/>
    <w:rsid w:val="053F7C8A"/>
    <w:rsid w:val="054ECE6D"/>
    <w:rsid w:val="05968090"/>
    <w:rsid w:val="05BAE4DF"/>
    <w:rsid w:val="060D0091"/>
    <w:rsid w:val="065B16D8"/>
    <w:rsid w:val="0702EEAE"/>
    <w:rsid w:val="0719536E"/>
    <w:rsid w:val="0756B540"/>
    <w:rsid w:val="07C4ED50"/>
    <w:rsid w:val="07D7C6B2"/>
    <w:rsid w:val="07DDBAFF"/>
    <w:rsid w:val="086340C8"/>
    <w:rsid w:val="0889362C"/>
    <w:rsid w:val="08F32A52"/>
    <w:rsid w:val="091C8333"/>
    <w:rsid w:val="0B385BAE"/>
    <w:rsid w:val="0C835410"/>
    <w:rsid w:val="0D4CCA6D"/>
    <w:rsid w:val="0D698512"/>
    <w:rsid w:val="0D7F7061"/>
    <w:rsid w:val="0E15535C"/>
    <w:rsid w:val="0E4A6077"/>
    <w:rsid w:val="0F02FCDA"/>
    <w:rsid w:val="103D7D24"/>
    <w:rsid w:val="1079AB2E"/>
    <w:rsid w:val="110DC3DD"/>
    <w:rsid w:val="1136FEEF"/>
    <w:rsid w:val="11386B48"/>
    <w:rsid w:val="1150F469"/>
    <w:rsid w:val="11EE0053"/>
    <w:rsid w:val="128C113F"/>
    <w:rsid w:val="13A4F942"/>
    <w:rsid w:val="13D7BDAD"/>
    <w:rsid w:val="15177BC2"/>
    <w:rsid w:val="1570FE58"/>
    <w:rsid w:val="15D04F66"/>
    <w:rsid w:val="163B826F"/>
    <w:rsid w:val="1670756E"/>
    <w:rsid w:val="174AD53C"/>
    <w:rsid w:val="1753BDE6"/>
    <w:rsid w:val="1839E561"/>
    <w:rsid w:val="191B52E0"/>
    <w:rsid w:val="193F8700"/>
    <w:rsid w:val="19618017"/>
    <w:rsid w:val="19875D84"/>
    <w:rsid w:val="1A25514C"/>
    <w:rsid w:val="1ADD0D8D"/>
    <w:rsid w:val="1B43E691"/>
    <w:rsid w:val="1BBFEA02"/>
    <w:rsid w:val="1C8432EF"/>
    <w:rsid w:val="1CABC4C0"/>
    <w:rsid w:val="1CF20A8E"/>
    <w:rsid w:val="1D2AEEDD"/>
    <w:rsid w:val="1EDF05F1"/>
    <w:rsid w:val="1F44F46D"/>
    <w:rsid w:val="200056BB"/>
    <w:rsid w:val="21BDBD8D"/>
    <w:rsid w:val="228DEC8A"/>
    <w:rsid w:val="22978C0C"/>
    <w:rsid w:val="22A384A8"/>
    <w:rsid w:val="22E7D2C9"/>
    <w:rsid w:val="238FC326"/>
    <w:rsid w:val="239D3297"/>
    <w:rsid w:val="23FD88B7"/>
    <w:rsid w:val="24932D59"/>
    <w:rsid w:val="25699A0A"/>
    <w:rsid w:val="2574164B"/>
    <w:rsid w:val="25E47725"/>
    <w:rsid w:val="263D88C0"/>
    <w:rsid w:val="26856A48"/>
    <w:rsid w:val="26BE789D"/>
    <w:rsid w:val="27317A00"/>
    <w:rsid w:val="276BA1DC"/>
    <w:rsid w:val="27BDA117"/>
    <w:rsid w:val="2818490D"/>
    <w:rsid w:val="295F1698"/>
    <w:rsid w:val="2A35D9BC"/>
    <w:rsid w:val="2AAD7D5A"/>
    <w:rsid w:val="2ADEEEDC"/>
    <w:rsid w:val="2B03753E"/>
    <w:rsid w:val="2B35C553"/>
    <w:rsid w:val="2B94307A"/>
    <w:rsid w:val="2C39A39A"/>
    <w:rsid w:val="2C7A5C0C"/>
    <w:rsid w:val="2CAEFE89"/>
    <w:rsid w:val="2DE608E8"/>
    <w:rsid w:val="2DEBF045"/>
    <w:rsid w:val="2DF08529"/>
    <w:rsid w:val="2E0F4411"/>
    <w:rsid w:val="2E5728EB"/>
    <w:rsid w:val="2E95AD67"/>
    <w:rsid w:val="2EC589BA"/>
    <w:rsid w:val="2EF00152"/>
    <w:rsid w:val="2EF33271"/>
    <w:rsid w:val="2F2E723A"/>
    <w:rsid w:val="2F34F841"/>
    <w:rsid w:val="2F44C0EF"/>
    <w:rsid w:val="31676963"/>
    <w:rsid w:val="31CCB6B1"/>
    <w:rsid w:val="3212E0ED"/>
    <w:rsid w:val="3217FDC1"/>
    <w:rsid w:val="32B26ADA"/>
    <w:rsid w:val="33CBC135"/>
    <w:rsid w:val="33FFA4E7"/>
    <w:rsid w:val="351E1012"/>
    <w:rsid w:val="35250C11"/>
    <w:rsid w:val="359F3E86"/>
    <w:rsid w:val="35FBA513"/>
    <w:rsid w:val="361D80D7"/>
    <w:rsid w:val="369FC834"/>
    <w:rsid w:val="36DE2297"/>
    <w:rsid w:val="36E423D2"/>
    <w:rsid w:val="371472C9"/>
    <w:rsid w:val="376EBD6A"/>
    <w:rsid w:val="37811C40"/>
    <w:rsid w:val="3852B385"/>
    <w:rsid w:val="38C3145F"/>
    <w:rsid w:val="3963BD2A"/>
    <w:rsid w:val="3B66D9D8"/>
    <w:rsid w:val="3B7357F4"/>
    <w:rsid w:val="3BDFEE22"/>
    <w:rsid w:val="3C274B5B"/>
    <w:rsid w:val="3C469C7C"/>
    <w:rsid w:val="3CA6B406"/>
    <w:rsid w:val="3CF41981"/>
    <w:rsid w:val="3E7D431F"/>
    <w:rsid w:val="3EB2C5FA"/>
    <w:rsid w:val="3F1FDBE2"/>
    <w:rsid w:val="3F2E59D4"/>
    <w:rsid w:val="3F602CA8"/>
    <w:rsid w:val="3F68D482"/>
    <w:rsid w:val="4147AD6A"/>
    <w:rsid w:val="415C2C57"/>
    <w:rsid w:val="41A72132"/>
    <w:rsid w:val="41AAB772"/>
    <w:rsid w:val="4215EFEE"/>
    <w:rsid w:val="4355ED08"/>
    <w:rsid w:val="43ADCD32"/>
    <w:rsid w:val="4470FB3B"/>
    <w:rsid w:val="44CE12D5"/>
    <w:rsid w:val="4534DB27"/>
    <w:rsid w:val="458A45E8"/>
    <w:rsid w:val="45E00291"/>
    <w:rsid w:val="45E44853"/>
    <w:rsid w:val="4617FBFB"/>
    <w:rsid w:val="4619C128"/>
    <w:rsid w:val="461CB964"/>
    <w:rsid w:val="46D7842A"/>
    <w:rsid w:val="47D87136"/>
    <w:rsid w:val="4838CCA4"/>
    <w:rsid w:val="487E5753"/>
    <w:rsid w:val="48F1963D"/>
    <w:rsid w:val="49821F4D"/>
    <w:rsid w:val="4B5F8489"/>
    <w:rsid w:val="4BAF5603"/>
    <w:rsid w:val="4BC2700C"/>
    <w:rsid w:val="4CB12C9F"/>
    <w:rsid w:val="4CFF97C9"/>
    <w:rsid w:val="4E51A728"/>
    <w:rsid w:val="4E5BCCBE"/>
    <w:rsid w:val="4F49B378"/>
    <w:rsid w:val="4F7E3BB1"/>
    <w:rsid w:val="509498E9"/>
    <w:rsid w:val="50A6A92D"/>
    <w:rsid w:val="50B7FBBE"/>
    <w:rsid w:val="50D69B0C"/>
    <w:rsid w:val="512322D1"/>
    <w:rsid w:val="51DC04E5"/>
    <w:rsid w:val="52505A66"/>
    <w:rsid w:val="52CEFFB1"/>
    <w:rsid w:val="539D4C6E"/>
    <w:rsid w:val="54A159BB"/>
    <w:rsid w:val="55D1BAE1"/>
    <w:rsid w:val="5604082E"/>
    <w:rsid w:val="56939966"/>
    <w:rsid w:val="56FE55EB"/>
    <w:rsid w:val="571C43A5"/>
    <w:rsid w:val="5793CB01"/>
    <w:rsid w:val="57A4B7F1"/>
    <w:rsid w:val="57D85B50"/>
    <w:rsid w:val="57E5B2D1"/>
    <w:rsid w:val="589A9E7D"/>
    <w:rsid w:val="58D393D9"/>
    <w:rsid w:val="5CB7C6B2"/>
    <w:rsid w:val="5CDFAE7D"/>
    <w:rsid w:val="5D174B37"/>
    <w:rsid w:val="5DF7E9F4"/>
    <w:rsid w:val="5EB31B98"/>
    <w:rsid w:val="5EC70192"/>
    <w:rsid w:val="5FD8A40B"/>
    <w:rsid w:val="60F0E03E"/>
    <w:rsid w:val="612D1B8B"/>
    <w:rsid w:val="615CF4E5"/>
    <w:rsid w:val="616D512F"/>
    <w:rsid w:val="6181BCEC"/>
    <w:rsid w:val="61A0463E"/>
    <w:rsid w:val="61E4D0D1"/>
    <w:rsid w:val="62DA8D69"/>
    <w:rsid w:val="630AEEDE"/>
    <w:rsid w:val="63169329"/>
    <w:rsid w:val="6419BFF3"/>
    <w:rsid w:val="656F9C99"/>
    <w:rsid w:val="65A1144A"/>
    <w:rsid w:val="6627D859"/>
    <w:rsid w:val="66DA74DE"/>
    <w:rsid w:val="67CA8D93"/>
    <w:rsid w:val="6893B0E4"/>
    <w:rsid w:val="68A9F783"/>
    <w:rsid w:val="6911E8EF"/>
    <w:rsid w:val="69922FC6"/>
    <w:rsid w:val="699690D8"/>
    <w:rsid w:val="69BF29E9"/>
    <w:rsid w:val="6A299A31"/>
    <w:rsid w:val="6A34026E"/>
    <w:rsid w:val="6A544D5D"/>
    <w:rsid w:val="6A6D0166"/>
    <w:rsid w:val="6A8F3DC5"/>
    <w:rsid w:val="6ABD777B"/>
    <w:rsid w:val="6AFD4C52"/>
    <w:rsid w:val="6B2EA23D"/>
    <w:rsid w:val="6B65EADC"/>
    <w:rsid w:val="6B82DE8D"/>
    <w:rsid w:val="6BC4CCD0"/>
    <w:rsid w:val="6BDDE454"/>
    <w:rsid w:val="6C88A333"/>
    <w:rsid w:val="6CA5FD52"/>
    <w:rsid w:val="6CDB091A"/>
    <w:rsid w:val="6D78B2C4"/>
    <w:rsid w:val="6EFD3D03"/>
    <w:rsid w:val="6F300CDA"/>
    <w:rsid w:val="7080B869"/>
    <w:rsid w:val="70DF1A9E"/>
    <w:rsid w:val="72F55501"/>
    <w:rsid w:val="736E0520"/>
    <w:rsid w:val="737897D3"/>
    <w:rsid w:val="73F8BF34"/>
    <w:rsid w:val="7401032D"/>
    <w:rsid w:val="740B0293"/>
    <w:rsid w:val="7499CACE"/>
    <w:rsid w:val="772F6B79"/>
    <w:rsid w:val="77A2FCF5"/>
    <w:rsid w:val="77F1BA5E"/>
    <w:rsid w:val="78495ACB"/>
    <w:rsid w:val="78A80E46"/>
    <w:rsid w:val="78CD4D1A"/>
    <w:rsid w:val="793129FF"/>
    <w:rsid w:val="79A775EF"/>
    <w:rsid w:val="7A2F8025"/>
    <w:rsid w:val="7A43DEA7"/>
    <w:rsid w:val="7A6E59AC"/>
    <w:rsid w:val="7A9B7103"/>
    <w:rsid w:val="7AAB1873"/>
    <w:rsid w:val="7AFF0136"/>
    <w:rsid w:val="7B0143BE"/>
    <w:rsid w:val="7B2E53A7"/>
    <w:rsid w:val="7BC853E0"/>
    <w:rsid w:val="7C18EFC1"/>
    <w:rsid w:val="7C333058"/>
    <w:rsid w:val="7D40AF42"/>
    <w:rsid w:val="7D93089C"/>
    <w:rsid w:val="7DA009FE"/>
    <w:rsid w:val="7DC3784A"/>
    <w:rsid w:val="7F67406D"/>
    <w:rsid w:val="7F995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6F00"/>
  <w15:docId w15:val="{7D3AAAB1-A61B-47E5-BE54-C9A389CD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DE"/>
    <w:pPr>
      <w:jc w:val="center"/>
    </w:pPr>
    <w:rPr>
      <w:rFonts w:ascii="Roboto" w:hAnsi="Roboto"/>
      <w:sz w:val="22"/>
    </w:rPr>
  </w:style>
  <w:style w:type="paragraph" w:styleId="Heading1">
    <w:name w:val="heading 1"/>
    <w:basedOn w:val="Normal"/>
    <w:next w:val="Vade-Mecum0"/>
    <w:link w:val="Heading1Char"/>
    <w:uiPriority w:val="9"/>
    <w:rsid w:val="00B942FD"/>
    <w:pPr>
      <w:keepNext/>
      <w:keepLines/>
      <w:numPr>
        <w:numId w:val="2"/>
      </w:numPr>
      <w:spacing w:before="480" w:after="0"/>
      <w:outlineLvl w:val="0"/>
    </w:pPr>
    <w:rPr>
      <w:rFonts w:ascii="Verdana" w:eastAsiaTheme="majorEastAsia" w:hAnsi="Verdana" w:cstheme="majorBidi"/>
      <w:b/>
      <w:bCs/>
      <w:color w:val="365F91" w:themeColor="accent1" w:themeShade="BF"/>
      <w:lang w:val="nl-BE"/>
    </w:rPr>
  </w:style>
  <w:style w:type="paragraph" w:styleId="Heading2">
    <w:name w:val="heading 2"/>
    <w:basedOn w:val="Vade-Mecum0"/>
    <w:next w:val="Heading3"/>
    <w:link w:val="Heading2Char"/>
    <w:uiPriority w:val="9"/>
    <w:unhideWhenUsed/>
    <w:rsid w:val="006C5DC8"/>
    <w:pPr>
      <w:numPr>
        <w:ilvl w:val="1"/>
        <w:numId w:val="2"/>
      </w:numPr>
      <w:spacing w:before="200"/>
      <w:outlineLvl w:val="1"/>
    </w:pPr>
    <w:rPr>
      <w:b/>
      <w:bCs/>
      <w:color w:val="4F81BD" w:themeColor="accent1"/>
      <w:sz w:val="26"/>
      <w:szCs w:val="26"/>
      <w:lang w:val="nl-BE"/>
    </w:rPr>
  </w:style>
  <w:style w:type="paragraph" w:styleId="Heading3">
    <w:name w:val="heading 3"/>
    <w:basedOn w:val="Normal"/>
    <w:next w:val="Vade-Mecum0"/>
    <w:link w:val="Heading3Char"/>
    <w:uiPriority w:val="9"/>
    <w:unhideWhenUsed/>
    <w:rsid w:val="007E7043"/>
    <w:pPr>
      <w:keepNext/>
      <w:keepLines/>
      <w:numPr>
        <w:ilvl w:val="2"/>
        <w:numId w:val="2"/>
      </w:numPr>
      <w:spacing w:before="200" w:after="0"/>
      <w:outlineLvl w:val="2"/>
    </w:pPr>
    <w:rPr>
      <w:rFonts w:ascii="Verdana" w:eastAsiaTheme="majorEastAsia" w:hAnsi="Verdana" w:cstheme="majorBidi"/>
      <w:b/>
      <w:bCs/>
      <w:color w:val="4F81BD" w:themeColor="accent1"/>
      <w:lang w:val="nl-BE"/>
    </w:rPr>
  </w:style>
  <w:style w:type="paragraph" w:styleId="Heading4">
    <w:name w:val="heading 4"/>
    <w:basedOn w:val="Normal"/>
    <w:next w:val="Normal"/>
    <w:link w:val="Heading4Char"/>
    <w:uiPriority w:val="9"/>
    <w:semiHidden/>
    <w:unhideWhenUsed/>
    <w:qFormat/>
    <w:rsid w:val="004B6A91"/>
    <w:pPr>
      <w:keepNext/>
      <w:keepLines/>
      <w:numPr>
        <w:ilvl w:val="3"/>
        <w:numId w:val="2"/>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B6A91"/>
    <w:pPr>
      <w:keepNext/>
      <w:keepLines/>
      <w:numPr>
        <w:ilvl w:val="4"/>
        <w:numId w:val="2"/>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B6A91"/>
    <w:pPr>
      <w:keepNext/>
      <w:keepLines/>
      <w:numPr>
        <w:ilvl w:val="5"/>
        <w:numId w:val="2"/>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4B6A91"/>
    <w:pPr>
      <w:keepNext/>
      <w:keepLines/>
      <w:numPr>
        <w:ilvl w:val="6"/>
        <w:numId w:val="2"/>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B6A91"/>
    <w:pPr>
      <w:keepNext/>
      <w:keepLines/>
      <w:numPr>
        <w:ilvl w:val="7"/>
        <w:numId w:val="2"/>
      </w:numPr>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4B6A91"/>
    <w:pPr>
      <w:keepNext/>
      <w:keepLines/>
      <w:numPr>
        <w:ilvl w:val="8"/>
        <w:numId w:val="2"/>
      </w:numPr>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de-Mecum0">
    <w:name w:val="Vade-Mecum"/>
    <w:basedOn w:val="Normal"/>
    <w:link w:val="Vade-MecumCar"/>
    <w:qFormat/>
    <w:rsid w:val="00885ACE"/>
    <w:pPr>
      <w:jc w:val="left"/>
    </w:pPr>
    <w:rPr>
      <w:color w:val="262626" w:themeColor="text1" w:themeTint="D9"/>
      <w:lang w:val="fr-BE"/>
    </w:rPr>
  </w:style>
  <w:style w:type="character" w:customStyle="1" w:styleId="Vade-MecumCar">
    <w:name w:val="Vade-Mecum Car"/>
    <w:basedOn w:val="DefaultParagraphFont"/>
    <w:link w:val="Vade-Mecum0"/>
    <w:rsid w:val="00885ACE"/>
    <w:rPr>
      <w:rFonts w:ascii="Roboto" w:hAnsi="Roboto"/>
      <w:color w:val="262626" w:themeColor="text1" w:themeTint="D9"/>
      <w:sz w:val="22"/>
      <w:lang w:val="fr-BE"/>
    </w:rPr>
  </w:style>
  <w:style w:type="character" w:customStyle="1" w:styleId="Heading1Char">
    <w:name w:val="Heading 1 Char"/>
    <w:basedOn w:val="DefaultParagraphFont"/>
    <w:link w:val="Heading1"/>
    <w:uiPriority w:val="9"/>
    <w:rsid w:val="00B942FD"/>
    <w:rPr>
      <w:rFonts w:ascii="Verdana" w:eastAsiaTheme="majorEastAsia" w:hAnsi="Verdana" w:cstheme="majorBidi"/>
      <w:b/>
      <w:bCs/>
      <w:color w:val="365F91" w:themeColor="accent1" w:themeShade="BF"/>
      <w:sz w:val="22"/>
      <w:lang w:val="nl-BE"/>
    </w:rPr>
  </w:style>
  <w:style w:type="character" w:customStyle="1" w:styleId="Heading2Char">
    <w:name w:val="Heading 2 Char"/>
    <w:basedOn w:val="DefaultParagraphFont"/>
    <w:link w:val="Heading2"/>
    <w:uiPriority w:val="9"/>
    <w:rsid w:val="006C5DC8"/>
    <w:rPr>
      <w:rFonts w:ascii="Roboto" w:hAnsi="Roboto"/>
      <w:b/>
      <w:bCs/>
      <w:color w:val="4F81BD" w:themeColor="accent1"/>
      <w:sz w:val="26"/>
      <w:szCs w:val="26"/>
      <w:lang w:val="nl-BE"/>
    </w:rPr>
  </w:style>
  <w:style w:type="character" w:customStyle="1" w:styleId="Heading3Char">
    <w:name w:val="Heading 3 Char"/>
    <w:basedOn w:val="DefaultParagraphFont"/>
    <w:link w:val="Heading3"/>
    <w:uiPriority w:val="9"/>
    <w:rsid w:val="007E7043"/>
    <w:rPr>
      <w:rFonts w:ascii="Verdana" w:eastAsiaTheme="majorEastAsia" w:hAnsi="Verdana" w:cstheme="majorBidi"/>
      <w:b/>
      <w:bCs/>
      <w:color w:val="4F81BD" w:themeColor="accent1"/>
      <w:sz w:val="22"/>
      <w:lang w:val="nl-BE"/>
    </w:rPr>
  </w:style>
  <w:style w:type="paragraph" w:styleId="Header">
    <w:name w:val="header"/>
    <w:basedOn w:val="Normal"/>
    <w:link w:val="HeaderChar"/>
    <w:uiPriority w:val="99"/>
    <w:unhideWhenUsed/>
    <w:rsid w:val="00B942FD"/>
    <w:pPr>
      <w:tabs>
        <w:tab w:val="center" w:pos="4513"/>
        <w:tab w:val="right" w:pos="9026"/>
      </w:tabs>
      <w:spacing w:after="0" w:line="240" w:lineRule="auto"/>
    </w:pPr>
    <w:rPr>
      <w:lang w:val="nl-BE"/>
    </w:rPr>
  </w:style>
  <w:style w:type="character" w:customStyle="1" w:styleId="HeaderChar">
    <w:name w:val="Header Char"/>
    <w:basedOn w:val="DefaultParagraphFont"/>
    <w:link w:val="Header"/>
    <w:uiPriority w:val="99"/>
    <w:rsid w:val="00B942FD"/>
    <w:rPr>
      <w:lang w:val="nl-BE"/>
    </w:rPr>
  </w:style>
  <w:style w:type="paragraph" w:styleId="Footer">
    <w:name w:val="footer"/>
    <w:basedOn w:val="Normal"/>
    <w:link w:val="FooterChar"/>
    <w:uiPriority w:val="99"/>
    <w:unhideWhenUsed/>
    <w:rsid w:val="00B942FD"/>
    <w:pPr>
      <w:tabs>
        <w:tab w:val="center" w:pos="4513"/>
        <w:tab w:val="right" w:pos="9026"/>
      </w:tabs>
      <w:spacing w:after="0" w:line="240" w:lineRule="auto"/>
    </w:pPr>
    <w:rPr>
      <w:lang w:val="nl-BE"/>
    </w:rPr>
  </w:style>
  <w:style w:type="character" w:customStyle="1" w:styleId="FooterChar">
    <w:name w:val="Footer Char"/>
    <w:basedOn w:val="DefaultParagraphFont"/>
    <w:link w:val="Footer"/>
    <w:uiPriority w:val="99"/>
    <w:rsid w:val="00B942FD"/>
    <w:rPr>
      <w:lang w:val="nl-BE"/>
    </w:rPr>
  </w:style>
  <w:style w:type="paragraph" w:styleId="NoSpacing">
    <w:name w:val="No Spacing"/>
    <w:uiPriority w:val="1"/>
    <w:qFormat/>
    <w:rsid w:val="00B942FD"/>
    <w:pPr>
      <w:spacing w:after="0" w:line="240" w:lineRule="auto"/>
    </w:pPr>
  </w:style>
  <w:style w:type="paragraph" w:styleId="TOC1">
    <w:name w:val="toc 1"/>
    <w:basedOn w:val="Normal"/>
    <w:next w:val="Normal"/>
    <w:autoRedefine/>
    <w:uiPriority w:val="39"/>
    <w:unhideWhenUsed/>
    <w:rsid w:val="00FE0ADE"/>
    <w:pPr>
      <w:tabs>
        <w:tab w:val="right" w:leader="dot" w:pos="9016"/>
      </w:tabs>
      <w:spacing w:after="100"/>
    </w:pPr>
    <w:rPr>
      <w:rFonts w:eastAsiaTheme="majorEastAsia" w:cstheme="majorBidi"/>
      <w:noProof/>
      <w:lang w:val="nl-BE"/>
    </w:rPr>
  </w:style>
  <w:style w:type="paragraph" w:styleId="TOC2">
    <w:name w:val="toc 2"/>
    <w:basedOn w:val="Normal"/>
    <w:next w:val="Normal"/>
    <w:autoRedefine/>
    <w:uiPriority w:val="39"/>
    <w:unhideWhenUsed/>
    <w:rsid w:val="001D6EB2"/>
    <w:pPr>
      <w:tabs>
        <w:tab w:val="right" w:leader="dot" w:pos="9016"/>
      </w:tabs>
      <w:spacing w:after="100"/>
      <w:ind w:left="220"/>
    </w:pPr>
  </w:style>
  <w:style w:type="paragraph" w:styleId="TOC3">
    <w:name w:val="toc 3"/>
    <w:basedOn w:val="Normal"/>
    <w:next w:val="Normal"/>
    <w:autoRedefine/>
    <w:uiPriority w:val="39"/>
    <w:unhideWhenUsed/>
    <w:rsid w:val="003A73CF"/>
    <w:pPr>
      <w:spacing w:after="100"/>
      <w:ind w:left="440"/>
    </w:pPr>
  </w:style>
  <w:style w:type="character" w:styleId="Hyperlink">
    <w:name w:val="Hyperlink"/>
    <w:basedOn w:val="DefaultParagraphFont"/>
    <w:uiPriority w:val="99"/>
    <w:unhideWhenUsed/>
    <w:rsid w:val="004B6A91"/>
    <w:rPr>
      <w:color w:val="0000FF" w:themeColor="hyperlink"/>
      <w:u w:val="single"/>
    </w:rPr>
  </w:style>
  <w:style w:type="character" w:customStyle="1" w:styleId="Heading4Char">
    <w:name w:val="Heading 4 Char"/>
    <w:basedOn w:val="DefaultParagraphFont"/>
    <w:link w:val="Heading4"/>
    <w:uiPriority w:val="9"/>
    <w:semiHidden/>
    <w:rsid w:val="004B6A91"/>
    <w:rPr>
      <w:rFonts w:ascii="Roboto" w:eastAsiaTheme="majorEastAsia" w:hAnsi="Roboto" w:cstheme="majorBidi"/>
      <w:b/>
      <w:bCs/>
      <w:i/>
      <w:iCs/>
      <w:color w:val="4F81BD" w:themeColor="accent1"/>
      <w:sz w:val="22"/>
    </w:rPr>
  </w:style>
  <w:style w:type="character" w:customStyle="1" w:styleId="Heading5Char">
    <w:name w:val="Heading 5 Char"/>
    <w:basedOn w:val="DefaultParagraphFont"/>
    <w:link w:val="Heading5"/>
    <w:uiPriority w:val="9"/>
    <w:semiHidden/>
    <w:rsid w:val="004B6A91"/>
    <w:rPr>
      <w:rFonts w:ascii="Roboto" w:eastAsiaTheme="majorEastAsia" w:hAnsi="Roboto" w:cstheme="majorBidi"/>
      <w:color w:val="243F60" w:themeColor="accent1" w:themeShade="7F"/>
      <w:sz w:val="22"/>
    </w:rPr>
  </w:style>
  <w:style w:type="character" w:customStyle="1" w:styleId="Heading6Char">
    <w:name w:val="Heading 6 Char"/>
    <w:basedOn w:val="DefaultParagraphFont"/>
    <w:link w:val="Heading6"/>
    <w:uiPriority w:val="9"/>
    <w:semiHidden/>
    <w:rsid w:val="004B6A91"/>
    <w:rPr>
      <w:rFonts w:ascii="Roboto" w:eastAsiaTheme="majorEastAsia" w:hAnsi="Roboto" w:cstheme="majorBidi"/>
      <w:i/>
      <w:iCs/>
      <w:color w:val="243F60" w:themeColor="accent1" w:themeShade="7F"/>
      <w:sz w:val="22"/>
    </w:rPr>
  </w:style>
  <w:style w:type="character" w:customStyle="1" w:styleId="Heading7Char">
    <w:name w:val="Heading 7 Char"/>
    <w:basedOn w:val="DefaultParagraphFont"/>
    <w:link w:val="Heading7"/>
    <w:uiPriority w:val="9"/>
    <w:semiHidden/>
    <w:rsid w:val="004B6A91"/>
    <w:rPr>
      <w:rFonts w:ascii="Roboto" w:eastAsiaTheme="majorEastAsia" w:hAnsi="Roboto" w:cstheme="majorBidi"/>
      <w:i/>
      <w:iCs/>
      <w:color w:val="404040" w:themeColor="text1" w:themeTint="BF"/>
      <w:sz w:val="22"/>
    </w:rPr>
  </w:style>
  <w:style w:type="character" w:customStyle="1" w:styleId="Heading8Char">
    <w:name w:val="Heading 8 Char"/>
    <w:basedOn w:val="DefaultParagraphFont"/>
    <w:link w:val="Heading8"/>
    <w:uiPriority w:val="9"/>
    <w:semiHidden/>
    <w:rsid w:val="004B6A91"/>
    <w:rPr>
      <w:rFonts w:ascii="Roboto" w:eastAsiaTheme="majorEastAsia" w:hAnsi="Roboto"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4B6A91"/>
    <w:rPr>
      <w:rFonts w:ascii="Roboto" w:eastAsiaTheme="majorEastAsia" w:hAnsi="Roboto" w:cstheme="majorBidi"/>
      <w:i/>
      <w:iCs/>
      <w:color w:val="404040" w:themeColor="text1" w:themeTint="BF"/>
      <w:sz w:val="22"/>
      <w:szCs w:val="20"/>
    </w:rPr>
  </w:style>
  <w:style w:type="paragraph" w:styleId="Title">
    <w:name w:val="Title"/>
    <w:basedOn w:val="Vade-Mecum0"/>
    <w:next w:val="Vade-Mecum0"/>
    <w:link w:val="TitleChar"/>
    <w:uiPriority w:val="10"/>
    <w:rsid w:val="00795744"/>
    <w:pPr>
      <w:pBdr>
        <w:bottom w:val="single" w:sz="8" w:space="4" w:color="4F81BD" w:themeColor="accent1"/>
      </w:pBdr>
      <w:spacing w:after="300" w:line="240" w:lineRule="auto"/>
      <w:contextualSpacing/>
      <w:jc w:val="both"/>
    </w:pPr>
    <w:rPr>
      <w:b/>
      <w:color w:val="17365D" w:themeColor="text2" w:themeShade="BF"/>
      <w:spacing w:val="5"/>
      <w:kern w:val="28"/>
      <w:sz w:val="28"/>
      <w:szCs w:val="52"/>
    </w:rPr>
  </w:style>
  <w:style w:type="character" w:customStyle="1" w:styleId="TitleChar">
    <w:name w:val="Title Char"/>
    <w:basedOn w:val="DefaultParagraphFont"/>
    <w:link w:val="Title"/>
    <w:uiPriority w:val="10"/>
    <w:rsid w:val="00795744"/>
    <w:rPr>
      <w:rFonts w:eastAsiaTheme="majorEastAsia" w:cstheme="majorBidi"/>
      <w:b/>
      <w:bCs/>
      <w:color w:val="17365D" w:themeColor="text2" w:themeShade="BF"/>
      <w:spacing w:val="5"/>
      <w:kern w:val="28"/>
      <w:szCs w:val="52"/>
      <w:lang w:val="fr-BE"/>
    </w:rPr>
  </w:style>
  <w:style w:type="numbering" w:customStyle="1" w:styleId="Vade-mecum">
    <w:name w:val="Vade-mecum"/>
    <w:uiPriority w:val="99"/>
    <w:rsid w:val="0069377F"/>
    <w:pPr>
      <w:numPr>
        <w:numId w:val="3"/>
      </w:numPr>
    </w:pPr>
  </w:style>
  <w:style w:type="paragraph" w:styleId="ListParagraph">
    <w:name w:val="List Paragraph"/>
    <w:basedOn w:val="Normal"/>
    <w:uiPriority w:val="34"/>
    <w:qFormat/>
    <w:rsid w:val="00D4090B"/>
    <w:pPr>
      <w:ind w:left="720"/>
      <w:contextualSpacing/>
    </w:pPr>
  </w:style>
  <w:style w:type="paragraph" w:styleId="BodyText">
    <w:name w:val="Body Text"/>
    <w:basedOn w:val="Normal"/>
    <w:link w:val="BodyTextChar"/>
    <w:uiPriority w:val="99"/>
    <w:semiHidden/>
    <w:unhideWhenUsed/>
    <w:rsid w:val="00D4090B"/>
    <w:pPr>
      <w:spacing w:after="120"/>
    </w:pPr>
  </w:style>
  <w:style w:type="character" w:customStyle="1" w:styleId="BodyTextChar">
    <w:name w:val="Body Text Char"/>
    <w:basedOn w:val="DefaultParagraphFont"/>
    <w:link w:val="BodyText"/>
    <w:uiPriority w:val="99"/>
    <w:semiHidden/>
    <w:rsid w:val="00D4090B"/>
  </w:style>
  <w:style w:type="paragraph" w:styleId="TOCHeading">
    <w:name w:val="TOC Heading"/>
    <w:basedOn w:val="Heading1"/>
    <w:next w:val="Normal"/>
    <w:uiPriority w:val="39"/>
    <w:unhideWhenUsed/>
    <w:qFormat/>
    <w:rsid w:val="0064137C"/>
    <w:pPr>
      <w:numPr>
        <w:numId w:val="0"/>
      </w:numPr>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64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7C"/>
    <w:rPr>
      <w:rFonts w:ascii="Tahoma" w:hAnsi="Tahoma" w:cs="Tahoma"/>
      <w:sz w:val="16"/>
      <w:szCs w:val="16"/>
    </w:rPr>
  </w:style>
  <w:style w:type="paragraph" w:customStyle="1" w:styleId="Vade-mecumtitre1">
    <w:name w:val="Vade-mecum titre 1"/>
    <w:basedOn w:val="Heading1"/>
    <w:next w:val="Vade-Mecum0"/>
    <w:qFormat/>
    <w:rsid w:val="00946423"/>
    <w:pPr>
      <w:spacing w:before="600" w:after="120"/>
      <w:jc w:val="left"/>
    </w:pPr>
    <w:rPr>
      <w:rFonts w:ascii="Lora" w:hAnsi="Lora"/>
      <w:color w:val="3F4A53"/>
      <w:sz w:val="36"/>
    </w:rPr>
  </w:style>
  <w:style w:type="paragraph" w:customStyle="1" w:styleId="Vade-mecumtitre2">
    <w:name w:val="Vade-mecum titre 2"/>
    <w:basedOn w:val="Heading2"/>
    <w:next w:val="Vade-Mecum0"/>
    <w:qFormat/>
    <w:rsid w:val="00946423"/>
    <w:rPr>
      <w:rFonts w:ascii="Lora" w:hAnsi="Lora"/>
      <w:color w:val="917562"/>
      <w:sz w:val="30"/>
      <w:lang w:val="fr-BE"/>
    </w:rPr>
  </w:style>
  <w:style w:type="paragraph" w:customStyle="1" w:styleId="Vade-mecumtitre3">
    <w:name w:val="Vade-mecum titre 3"/>
    <w:basedOn w:val="Heading3"/>
    <w:next w:val="Vade-Mecum0"/>
    <w:qFormat/>
    <w:rsid w:val="00946423"/>
    <w:pPr>
      <w:spacing w:before="320" w:after="120"/>
      <w:jc w:val="left"/>
    </w:pPr>
    <w:rPr>
      <w:rFonts w:ascii="Lora" w:hAnsi="Lora"/>
      <w:color w:val="A48A78"/>
      <w:sz w:val="26"/>
      <w:lang w:val="fr-BE"/>
    </w:rPr>
  </w:style>
  <w:style w:type="paragraph" w:styleId="TOC4">
    <w:name w:val="toc 4"/>
    <w:basedOn w:val="Normal"/>
    <w:next w:val="Normal"/>
    <w:autoRedefine/>
    <w:uiPriority w:val="39"/>
    <w:unhideWhenUsed/>
    <w:rsid w:val="003A73CF"/>
    <w:pPr>
      <w:spacing w:after="100"/>
      <w:ind w:left="840"/>
    </w:pPr>
  </w:style>
  <w:style w:type="paragraph" w:styleId="FootnoteText">
    <w:name w:val="footnote text"/>
    <w:basedOn w:val="Normal"/>
    <w:link w:val="FootnoteTextChar"/>
    <w:uiPriority w:val="99"/>
    <w:semiHidden/>
    <w:unhideWhenUsed/>
    <w:rsid w:val="002C3240"/>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3240"/>
    <w:rPr>
      <w:rFonts w:ascii="Calibri" w:eastAsia="Calibri" w:hAnsi="Calibri" w:cs="Times New Roman"/>
      <w:sz w:val="20"/>
      <w:szCs w:val="20"/>
    </w:rPr>
  </w:style>
  <w:style w:type="paragraph" w:styleId="CommentText">
    <w:name w:val="annotation text"/>
    <w:basedOn w:val="Normal"/>
    <w:link w:val="CommentTextChar"/>
    <w:uiPriority w:val="99"/>
    <w:unhideWhenUsed/>
    <w:rsid w:val="002C3240"/>
    <w:pPr>
      <w:spacing w:after="0" w:line="240" w:lineRule="auto"/>
      <w:jc w:val="left"/>
    </w:pPr>
    <w:rPr>
      <w:rFonts w:eastAsia="Calibri" w:cs="Calibri"/>
      <w:sz w:val="20"/>
      <w:szCs w:val="20"/>
    </w:rPr>
  </w:style>
  <w:style w:type="character" w:customStyle="1" w:styleId="CommentTextChar">
    <w:name w:val="Comment Text Char"/>
    <w:basedOn w:val="DefaultParagraphFont"/>
    <w:link w:val="CommentText"/>
    <w:uiPriority w:val="99"/>
    <w:rsid w:val="002C3240"/>
    <w:rPr>
      <w:rFonts w:ascii="Roboto" w:eastAsia="Calibri" w:hAnsi="Roboto" w:cs="Calibri"/>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unhideWhenUsed/>
    <w:rsid w:val="002C3240"/>
    <w:rPr>
      <w:vertAlign w:val="superscript"/>
    </w:rPr>
  </w:style>
  <w:style w:type="character" w:styleId="CommentReference">
    <w:name w:val="annotation reference"/>
    <w:basedOn w:val="DefaultParagraphFont"/>
    <w:uiPriority w:val="99"/>
    <w:unhideWhenUsed/>
    <w:rsid w:val="002C3240"/>
    <w:rPr>
      <w:sz w:val="16"/>
      <w:szCs w:val="16"/>
    </w:rPr>
  </w:style>
  <w:style w:type="paragraph" w:styleId="CommentSubject">
    <w:name w:val="annotation subject"/>
    <w:basedOn w:val="CommentText"/>
    <w:next w:val="CommentText"/>
    <w:link w:val="CommentSubjectChar"/>
    <w:uiPriority w:val="99"/>
    <w:semiHidden/>
    <w:unhideWhenUsed/>
    <w:rsid w:val="00503162"/>
    <w:pPr>
      <w:spacing w:after="200"/>
      <w:jc w:val="center"/>
    </w:pPr>
    <w:rPr>
      <w:rFonts w:eastAsiaTheme="minorHAnsi" w:cstheme="minorBidi"/>
      <w:b/>
      <w:bCs/>
    </w:rPr>
  </w:style>
  <w:style w:type="character" w:customStyle="1" w:styleId="CommentSubjectChar">
    <w:name w:val="Comment Subject Char"/>
    <w:basedOn w:val="CommentTextChar"/>
    <w:link w:val="CommentSubject"/>
    <w:uiPriority w:val="99"/>
    <w:semiHidden/>
    <w:rsid w:val="00503162"/>
    <w:rPr>
      <w:rFonts w:ascii="Roboto" w:eastAsia="Calibri" w:hAnsi="Roboto" w:cs="Calibri"/>
      <w:b/>
      <w:bCs/>
      <w:sz w:val="20"/>
      <w:szCs w:val="20"/>
    </w:rPr>
  </w:style>
  <w:style w:type="paragraph" w:styleId="Revision">
    <w:name w:val="Revision"/>
    <w:hidden/>
    <w:uiPriority w:val="99"/>
    <w:semiHidden/>
    <w:rsid w:val="0044136F"/>
    <w:pPr>
      <w:spacing w:after="0" w:line="240" w:lineRule="auto"/>
    </w:pPr>
    <w:rPr>
      <w:rFonts w:ascii="Roboto" w:hAnsi="Roboto"/>
      <w:sz w:val="22"/>
    </w:rPr>
  </w:style>
  <w:style w:type="character" w:styleId="UnresolvedMention">
    <w:name w:val="Unresolved Mention"/>
    <w:basedOn w:val="DefaultParagraphFont"/>
    <w:uiPriority w:val="99"/>
    <w:semiHidden/>
    <w:unhideWhenUsed/>
    <w:rsid w:val="00565379"/>
    <w:rPr>
      <w:color w:val="605E5C"/>
      <w:shd w:val="clear" w:color="auto" w:fill="E1DFDD"/>
    </w:rPr>
  </w:style>
  <w:style w:type="character" w:styleId="FollowedHyperlink">
    <w:name w:val="FollowedHyperlink"/>
    <w:basedOn w:val="DefaultParagraphFont"/>
    <w:uiPriority w:val="99"/>
    <w:semiHidden/>
    <w:unhideWhenUsed/>
    <w:rsid w:val="00773C11"/>
    <w:rPr>
      <w:color w:val="800080" w:themeColor="followedHyperlink"/>
      <w:u w:val="single"/>
    </w:rPr>
  </w:style>
  <w:style w:type="paragraph" w:styleId="BodyText3">
    <w:name w:val="Body Text 3"/>
    <w:basedOn w:val="Normal"/>
    <w:link w:val="BodyText3Char"/>
    <w:uiPriority w:val="99"/>
    <w:semiHidden/>
    <w:unhideWhenUsed/>
    <w:rsid w:val="00BF3335"/>
    <w:pPr>
      <w:spacing w:after="120"/>
    </w:pPr>
    <w:rPr>
      <w:sz w:val="16"/>
      <w:szCs w:val="16"/>
    </w:rPr>
  </w:style>
  <w:style w:type="character" w:customStyle="1" w:styleId="BodyText3Char">
    <w:name w:val="Body Text 3 Char"/>
    <w:basedOn w:val="DefaultParagraphFont"/>
    <w:link w:val="BodyText3"/>
    <w:uiPriority w:val="99"/>
    <w:semiHidden/>
    <w:rsid w:val="00BF3335"/>
    <w:rPr>
      <w:rFonts w:ascii="Roboto" w:hAnsi="Roboto"/>
      <w:sz w:val="16"/>
      <w:szCs w:val="16"/>
    </w:rPr>
  </w:style>
  <w:style w:type="paragraph" w:styleId="TOC5">
    <w:name w:val="toc 5"/>
    <w:basedOn w:val="Normal"/>
    <w:next w:val="Normal"/>
    <w:autoRedefine/>
    <w:uiPriority w:val="39"/>
    <w:unhideWhenUsed/>
    <w:rsid w:val="002E704D"/>
    <w:pPr>
      <w:spacing w:after="100" w:line="259" w:lineRule="auto"/>
      <w:ind w:left="880"/>
      <w:jc w:val="left"/>
    </w:pPr>
    <w:rPr>
      <w:rFonts w:asciiTheme="minorHAnsi" w:eastAsiaTheme="minorEastAsia" w:hAnsiTheme="minorHAnsi"/>
      <w:szCs w:val="22"/>
    </w:rPr>
  </w:style>
  <w:style w:type="paragraph" w:styleId="TOC6">
    <w:name w:val="toc 6"/>
    <w:basedOn w:val="Normal"/>
    <w:next w:val="Normal"/>
    <w:autoRedefine/>
    <w:uiPriority w:val="39"/>
    <w:unhideWhenUsed/>
    <w:rsid w:val="002E704D"/>
    <w:pPr>
      <w:spacing w:after="100" w:line="259" w:lineRule="auto"/>
      <w:ind w:left="1100"/>
      <w:jc w:val="left"/>
    </w:pPr>
    <w:rPr>
      <w:rFonts w:asciiTheme="minorHAnsi" w:eastAsiaTheme="minorEastAsia" w:hAnsiTheme="minorHAnsi"/>
      <w:szCs w:val="22"/>
    </w:rPr>
  </w:style>
  <w:style w:type="paragraph" w:styleId="TOC7">
    <w:name w:val="toc 7"/>
    <w:basedOn w:val="Normal"/>
    <w:next w:val="Normal"/>
    <w:autoRedefine/>
    <w:uiPriority w:val="39"/>
    <w:unhideWhenUsed/>
    <w:rsid w:val="002E704D"/>
    <w:pPr>
      <w:spacing w:after="100" w:line="259" w:lineRule="auto"/>
      <w:ind w:left="1320"/>
      <w:jc w:val="left"/>
    </w:pPr>
    <w:rPr>
      <w:rFonts w:asciiTheme="minorHAnsi" w:eastAsiaTheme="minorEastAsia" w:hAnsiTheme="minorHAnsi"/>
      <w:szCs w:val="22"/>
    </w:rPr>
  </w:style>
  <w:style w:type="paragraph" w:styleId="TOC8">
    <w:name w:val="toc 8"/>
    <w:basedOn w:val="Normal"/>
    <w:next w:val="Normal"/>
    <w:autoRedefine/>
    <w:uiPriority w:val="39"/>
    <w:unhideWhenUsed/>
    <w:rsid w:val="002E704D"/>
    <w:pPr>
      <w:spacing w:after="100" w:line="259" w:lineRule="auto"/>
      <w:ind w:left="1540"/>
      <w:jc w:val="left"/>
    </w:pPr>
    <w:rPr>
      <w:rFonts w:asciiTheme="minorHAnsi" w:eastAsiaTheme="minorEastAsia" w:hAnsiTheme="minorHAnsi"/>
      <w:szCs w:val="22"/>
    </w:rPr>
  </w:style>
  <w:style w:type="paragraph" w:styleId="TOC9">
    <w:name w:val="toc 9"/>
    <w:basedOn w:val="Normal"/>
    <w:next w:val="Normal"/>
    <w:autoRedefine/>
    <w:uiPriority w:val="39"/>
    <w:unhideWhenUsed/>
    <w:rsid w:val="002E704D"/>
    <w:pPr>
      <w:spacing w:after="100" w:line="259" w:lineRule="auto"/>
      <w:ind w:left="1760"/>
      <w:jc w:val="left"/>
    </w:pPr>
    <w:rPr>
      <w:rFonts w:asciiTheme="minorHAnsi" w:eastAsiaTheme="minorEastAsia" w:hAnsiTheme="minorHAnsi"/>
      <w:szCs w:val="22"/>
    </w:rPr>
  </w:style>
  <w:style w:type="character" w:customStyle="1" w:styleId="cf01">
    <w:name w:val="cf01"/>
    <w:basedOn w:val="DefaultParagraphFont"/>
    <w:rsid w:val="00D0043D"/>
    <w:rPr>
      <w:rFonts w:ascii="Segoe UI" w:hAnsi="Segoe UI" w:cs="Segoe UI" w:hint="default"/>
      <w:sz w:val="18"/>
      <w:szCs w:val="18"/>
      <w:shd w:val="clear" w:color="auto" w:fill="FFFFFF"/>
    </w:rPr>
  </w:style>
  <w:style w:type="character" w:customStyle="1" w:styleId="normaltextrun">
    <w:name w:val="normaltextrun"/>
    <w:basedOn w:val="DefaultParagraphFont"/>
    <w:rsid w:val="00CA45BD"/>
  </w:style>
  <w:style w:type="character" w:customStyle="1" w:styleId="eop">
    <w:name w:val="eop"/>
    <w:basedOn w:val="DefaultParagraphFont"/>
    <w:rsid w:val="00CA45BD"/>
  </w:style>
  <w:style w:type="paragraph" w:customStyle="1" w:styleId="paragraph">
    <w:name w:val="paragraph"/>
    <w:basedOn w:val="Normal"/>
    <w:rsid w:val="006631F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82C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C2D"/>
    <w:rPr>
      <w:rFonts w:ascii="Roboto" w:hAnsi="Roboto"/>
      <w:sz w:val="20"/>
      <w:szCs w:val="20"/>
    </w:rPr>
  </w:style>
  <w:style w:type="character" w:styleId="EndnoteReference">
    <w:name w:val="endnote reference"/>
    <w:basedOn w:val="DefaultParagraphFont"/>
    <w:uiPriority w:val="99"/>
    <w:semiHidden/>
    <w:unhideWhenUsed/>
    <w:rsid w:val="00B82C2D"/>
    <w:rPr>
      <w:vertAlign w:val="superscript"/>
    </w:rPr>
  </w:style>
  <w:style w:type="paragraph" w:customStyle="1" w:styleId="S4Titre3">
    <w:name w:val="S4 Titre 3"/>
    <w:basedOn w:val="Heading3"/>
    <w:next w:val="Normal"/>
    <w:link w:val="S4Titre3Car"/>
    <w:autoRedefine/>
    <w:qFormat/>
    <w:rsid w:val="00B224E0"/>
    <w:pPr>
      <w:keepLines w:val="0"/>
      <w:numPr>
        <w:ilvl w:val="0"/>
        <w:numId w:val="0"/>
      </w:numPr>
      <w:spacing w:before="360" w:after="280" w:line="280" w:lineRule="atLeast"/>
      <w:jc w:val="both"/>
    </w:pPr>
    <w:rPr>
      <w:rFonts w:eastAsia="Times New Roman" w:cs="Arial"/>
      <w:b w:val="0"/>
      <w:bCs w:val="0"/>
      <w:color w:val="auto"/>
      <w:sz w:val="20"/>
      <w:szCs w:val="20"/>
      <w:lang w:val="nl-NL"/>
    </w:rPr>
  </w:style>
  <w:style w:type="character" w:customStyle="1" w:styleId="S4Titre3Car">
    <w:name w:val="S4 Titre 3 Car"/>
    <w:link w:val="S4Titre3"/>
    <w:rsid w:val="00B224E0"/>
    <w:rPr>
      <w:rFonts w:ascii="Verdana" w:eastAsia="Times New Roman" w:hAnsi="Verdana"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324087283">
      <w:bodyDiv w:val="1"/>
      <w:marLeft w:val="0"/>
      <w:marRight w:val="0"/>
      <w:marTop w:val="0"/>
      <w:marBottom w:val="0"/>
      <w:divBdr>
        <w:top w:val="none" w:sz="0" w:space="0" w:color="auto"/>
        <w:left w:val="none" w:sz="0" w:space="0" w:color="auto"/>
        <w:bottom w:val="none" w:sz="0" w:space="0" w:color="auto"/>
        <w:right w:val="none" w:sz="0" w:space="0" w:color="auto"/>
      </w:divBdr>
      <w:divsChild>
        <w:div w:id="11608466">
          <w:marLeft w:val="0"/>
          <w:marRight w:val="0"/>
          <w:marTop w:val="0"/>
          <w:marBottom w:val="0"/>
          <w:divBdr>
            <w:top w:val="none" w:sz="0" w:space="0" w:color="auto"/>
            <w:left w:val="none" w:sz="0" w:space="0" w:color="auto"/>
            <w:bottom w:val="none" w:sz="0" w:space="0" w:color="auto"/>
            <w:right w:val="none" w:sz="0" w:space="0" w:color="auto"/>
          </w:divBdr>
          <w:divsChild>
            <w:div w:id="1613509862">
              <w:marLeft w:val="0"/>
              <w:marRight w:val="0"/>
              <w:marTop w:val="0"/>
              <w:marBottom w:val="0"/>
              <w:divBdr>
                <w:top w:val="none" w:sz="0" w:space="0" w:color="auto"/>
                <w:left w:val="none" w:sz="0" w:space="0" w:color="auto"/>
                <w:bottom w:val="none" w:sz="0" w:space="0" w:color="auto"/>
                <w:right w:val="none" w:sz="0" w:space="0" w:color="auto"/>
              </w:divBdr>
            </w:div>
          </w:divsChild>
        </w:div>
        <w:div w:id="73942091">
          <w:marLeft w:val="0"/>
          <w:marRight w:val="0"/>
          <w:marTop w:val="0"/>
          <w:marBottom w:val="0"/>
          <w:divBdr>
            <w:top w:val="none" w:sz="0" w:space="0" w:color="auto"/>
            <w:left w:val="none" w:sz="0" w:space="0" w:color="auto"/>
            <w:bottom w:val="none" w:sz="0" w:space="0" w:color="auto"/>
            <w:right w:val="none" w:sz="0" w:space="0" w:color="auto"/>
          </w:divBdr>
          <w:divsChild>
            <w:div w:id="2022662671">
              <w:marLeft w:val="0"/>
              <w:marRight w:val="0"/>
              <w:marTop w:val="0"/>
              <w:marBottom w:val="0"/>
              <w:divBdr>
                <w:top w:val="none" w:sz="0" w:space="0" w:color="auto"/>
                <w:left w:val="none" w:sz="0" w:space="0" w:color="auto"/>
                <w:bottom w:val="none" w:sz="0" w:space="0" w:color="auto"/>
                <w:right w:val="none" w:sz="0" w:space="0" w:color="auto"/>
              </w:divBdr>
            </w:div>
          </w:divsChild>
        </w:div>
        <w:div w:id="489324191">
          <w:marLeft w:val="0"/>
          <w:marRight w:val="0"/>
          <w:marTop w:val="0"/>
          <w:marBottom w:val="0"/>
          <w:divBdr>
            <w:top w:val="none" w:sz="0" w:space="0" w:color="auto"/>
            <w:left w:val="none" w:sz="0" w:space="0" w:color="auto"/>
            <w:bottom w:val="none" w:sz="0" w:space="0" w:color="auto"/>
            <w:right w:val="none" w:sz="0" w:space="0" w:color="auto"/>
          </w:divBdr>
          <w:divsChild>
            <w:div w:id="385568077">
              <w:marLeft w:val="0"/>
              <w:marRight w:val="0"/>
              <w:marTop w:val="0"/>
              <w:marBottom w:val="0"/>
              <w:divBdr>
                <w:top w:val="none" w:sz="0" w:space="0" w:color="auto"/>
                <w:left w:val="none" w:sz="0" w:space="0" w:color="auto"/>
                <w:bottom w:val="none" w:sz="0" w:space="0" w:color="auto"/>
                <w:right w:val="none" w:sz="0" w:space="0" w:color="auto"/>
              </w:divBdr>
            </w:div>
          </w:divsChild>
        </w:div>
        <w:div w:id="507523407">
          <w:marLeft w:val="0"/>
          <w:marRight w:val="0"/>
          <w:marTop w:val="0"/>
          <w:marBottom w:val="0"/>
          <w:divBdr>
            <w:top w:val="none" w:sz="0" w:space="0" w:color="auto"/>
            <w:left w:val="none" w:sz="0" w:space="0" w:color="auto"/>
            <w:bottom w:val="none" w:sz="0" w:space="0" w:color="auto"/>
            <w:right w:val="none" w:sz="0" w:space="0" w:color="auto"/>
          </w:divBdr>
          <w:divsChild>
            <w:div w:id="1078133100">
              <w:marLeft w:val="0"/>
              <w:marRight w:val="0"/>
              <w:marTop w:val="0"/>
              <w:marBottom w:val="0"/>
              <w:divBdr>
                <w:top w:val="none" w:sz="0" w:space="0" w:color="auto"/>
                <w:left w:val="none" w:sz="0" w:space="0" w:color="auto"/>
                <w:bottom w:val="none" w:sz="0" w:space="0" w:color="auto"/>
                <w:right w:val="none" w:sz="0" w:space="0" w:color="auto"/>
              </w:divBdr>
            </w:div>
          </w:divsChild>
        </w:div>
        <w:div w:id="645210772">
          <w:marLeft w:val="0"/>
          <w:marRight w:val="0"/>
          <w:marTop w:val="0"/>
          <w:marBottom w:val="0"/>
          <w:divBdr>
            <w:top w:val="none" w:sz="0" w:space="0" w:color="auto"/>
            <w:left w:val="none" w:sz="0" w:space="0" w:color="auto"/>
            <w:bottom w:val="none" w:sz="0" w:space="0" w:color="auto"/>
            <w:right w:val="none" w:sz="0" w:space="0" w:color="auto"/>
          </w:divBdr>
          <w:divsChild>
            <w:div w:id="323972261">
              <w:marLeft w:val="0"/>
              <w:marRight w:val="0"/>
              <w:marTop w:val="0"/>
              <w:marBottom w:val="0"/>
              <w:divBdr>
                <w:top w:val="none" w:sz="0" w:space="0" w:color="auto"/>
                <w:left w:val="none" w:sz="0" w:space="0" w:color="auto"/>
                <w:bottom w:val="none" w:sz="0" w:space="0" w:color="auto"/>
                <w:right w:val="none" w:sz="0" w:space="0" w:color="auto"/>
              </w:divBdr>
            </w:div>
          </w:divsChild>
        </w:div>
        <w:div w:id="910962408">
          <w:marLeft w:val="0"/>
          <w:marRight w:val="0"/>
          <w:marTop w:val="0"/>
          <w:marBottom w:val="0"/>
          <w:divBdr>
            <w:top w:val="none" w:sz="0" w:space="0" w:color="auto"/>
            <w:left w:val="none" w:sz="0" w:space="0" w:color="auto"/>
            <w:bottom w:val="none" w:sz="0" w:space="0" w:color="auto"/>
            <w:right w:val="none" w:sz="0" w:space="0" w:color="auto"/>
          </w:divBdr>
          <w:divsChild>
            <w:div w:id="897519992">
              <w:marLeft w:val="0"/>
              <w:marRight w:val="0"/>
              <w:marTop w:val="0"/>
              <w:marBottom w:val="0"/>
              <w:divBdr>
                <w:top w:val="none" w:sz="0" w:space="0" w:color="auto"/>
                <w:left w:val="none" w:sz="0" w:space="0" w:color="auto"/>
                <w:bottom w:val="none" w:sz="0" w:space="0" w:color="auto"/>
                <w:right w:val="none" w:sz="0" w:space="0" w:color="auto"/>
              </w:divBdr>
            </w:div>
          </w:divsChild>
        </w:div>
        <w:div w:id="1249389476">
          <w:marLeft w:val="0"/>
          <w:marRight w:val="0"/>
          <w:marTop w:val="0"/>
          <w:marBottom w:val="0"/>
          <w:divBdr>
            <w:top w:val="none" w:sz="0" w:space="0" w:color="auto"/>
            <w:left w:val="none" w:sz="0" w:space="0" w:color="auto"/>
            <w:bottom w:val="none" w:sz="0" w:space="0" w:color="auto"/>
            <w:right w:val="none" w:sz="0" w:space="0" w:color="auto"/>
          </w:divBdr>
          <w:divsChild>
            <w:div w:id="1191063540">
              <w:marLeft w:val="0"/>
              <w:marRight w:val="0"/>
              <w:marTop w:val="0"/>
              <w:marBottom w:val="0"/>
              <w:divBdr>
                <w:top w:val="none" w:sz="0" w:space="0" w:color="auto"/>
                <w:left w:val="none" w:sz="0" w:space="0" w:color="auto"/>
                <w:bottom w:val="none" w:sz="0" w:space="0" w:color="auto"/>
                <w:right w:val="none" w:sz="0" w:space="0" w:color="auto"/>
              </w:divBdr>
            </w:div>
          </w:divsChild>
        </w:div>
        <w:div w:id="1412504465">
          <w:marLeft w:val="0"/>
          <w:marRight w:val="0"/>
          <w:marTop w:val="0"/>
          <w:marBottom w:val="0"/>
          <w:divBdr>
            <w:top w:val="none" w:sz="0" w:space="0" w:color="auto"/>
            <w:left w:val="none" w:sz="0" w:space="0" w:color="auto"/>
            <w:bottom w:val="none" w:sz="0" w:space="0" w:color="auto"/>
            <w:right w:val="none" w:sz="0" w:space="0" w:color="auto"/>
          </w:divBdr>
          <w:divsChild>
            <w:div w:id="848256149">
              <w:marLeft w:val="0"/>
              <w:marRight w:val="0"/>
              <w:marTop w:val="0"/>
              <w:marBottom w:val="0"/>
              <w:divBdr>
                <w:top w:val="none" w:sz="0" w:space="0" w:color="auto"/>
                <w:left w:val="none" w:sz="0" w:space="0" w:color="auto"/>
                <w:bottom w:val="none" w:sz="0" w:space="0" w:color="auto"/>
                <w:right w:val="none" w:sz="0" w:space="0" w:color="auto"/>
              </w:divBdr>
            </w:div>
          </w:divsChild>
        </w:div>
        <w:div w:id="1811971440">
          <w:marLeft w:val="0"/>
          <w:marRight w:val="0"/>
          <w:marTop w:val="0"/>
          <w:marBottom w:val="0"/>
          <w:divBdr>
            <w:top w:val="none" w:sz="0" w:space="0" w:color="auto"/>
            <w:left w:val="none" w:sz="0" w:space="0" w:color="auto"/>
            <w:bottom w:val="none" w:sz="0" w:space="0" w:color="auto"/>
            <w:right w:val="none" w:sz="0" w:space="0" w:color="auto"/>
          </w:divBdr>
          <w:divsChild>
            <w:div w:id="492335842">
              <w:marLeft w:val="0"/>
              <w:marRight w:val="0"/>
              <w:marTop w:val="0"/>
              <w:marBottom w:val="0"/>
              <w:divBdr>
                <w:top w:val="none" w:sz="0" w:space="0" w:color="auto"/>
                <w:left w:val="none" w:sz="0" w:space="0" w:color="auto"/>
                <w:bottom w:val="none" w:sz="0" w:space="0" w:color="auto"/>
                <w:right w:val="none" w:sz="0" w:space="0" w:color="auto"/>
              </w:divBdr>
            </w:div>
          </w:divsChild>
        </w:div>
        <w:div w:id="1859157289">
          <w:marLeft w:val="0"/>
          <w:marRight w:val="0"/>
          <w:marTop w:val="0"/>
          <w:marBottom w:val="0"/>
          <w:divBdr>
            <w:top w:val="none" w:sz="0" w:space="0" w:color="auto"/>
            <w:left w:val="none" w:sz="0" w:space="0" w:color="auto"/>
            <w:bottom w:val="none" w:sz="0" w:space="0" w:color="auto"/>
            <w:right w:val="none" w:sz="0" w:space="0" w:color="auto"/>
          </w:divBdr>
          <w:divsChild>
            <w:div w:id="142235427">
              <w:marLeft w:val="0"/>
              <w:marRight w:val="0"/>
              <w:marTop w:val="0"/>
              <w:marBottom w:val="0"/>
              <w:divBdr>
                <w:top w:val="none" w:sz="0" w:space="0" w:color="auto"/>
                <w:left w:val="none" w:sz="0" w:space="0" w:color="auto"/>
                <w:bottom w:val="none" w:sz="0" w:space="0" w:color="auto"/>
                <w:right w:val="none" w:sz="0" w:space="0" w:color="auto"/>
              </w:divBdr>
            </w:div>
          </w:divsChild>
        </w:div>
        <w:div w:id="2046321522">
          <w:marLeft w:val="0"/>
          <w:marRight w:val="0"/>
          <w:marTop w:val="0"/>
          <w:marBottom w:val="0"/>
          <w:divBdr>
            <w:top w:val="none" w:sz="0" w:space="0" w:color="auto"/>
            <w:left w:val="none" w:sz="0" w:space="0" w:color="auto"/>
            <w:bottom w:val="none" w:sz="0" w:space="0" w:color="auto"/>
            <w:right w:val="none" w:sz="0" w:space="0" w:color="auto"/>
          </w:divBdr>
          <w:divsChild>
            <w:div w:id="17976095">
              <w:marLeft w:val="0"/>
              <w:marRight w:val="0"/>
              <w:marTop w:val="0"/>
              <w:marBottom w:val="0"/>
              <w:divBdr>
                <w:top w:val="none" w:sz="0" w:space="0" w:color="auto"/>
                <w:left w:val="none" w:sz="0" w:space="0" w:color="auto"/>
                <w:bottom w:val="none" w:sz="0" w:space="0" w:color="auto"/>
                <w:right w:val="none" w:sz="0" w:space="0" w:color="auto"/>
              </w:divBdr>
            </w:div>
          </w:divsChild>
        </w:div>
        <w:div w:id="2083480094">
          <w:marLeft w:val="0"/>
          <w:marRight w:val="0"/>
          <w:marTop w:val="0"/>
          <w:marBottom w:val="0"/>
          <w:divBdr>
            <w:top w:val="none" w:sz="0" w:space="0" w:color="auto"/>
            <w:left w:val="none" w:sz="0" w:space="0" w:color="auto"/>
            <w:bottom w:val="none" w:sz="0" w:space="0" w:color="auto"/>
            <w:right w:val="none" w:sz="0" w:space="0" w:color="auto"/>
          </w:divBdr>
          <w:divsChild>
            <w:div w:id="449863339">
              <w:marLeft w:val="0"/>
              <w:marRight w:val="0"/>
              <w:marTop w:val="0"/>
              <w:marBottom w:val="0"/>
              <w:divBdr>
                <w:top w:val="none" w:sz="0" w:space="0" w:color="auto"/>
                <w:left w:val="none" w:sz="0" w:space="0" w:color="auto"/>
                <w:bottom w:val="none" w:sz="0" w:space="0" w:color="auto"/>
                <w:right w:val="none" w:sz="0" w:space="0" w:color="auto"/>
              </w:divBdr>
            </w:div>
          </w:divsChild>
        </w:div>
        <w:div w:id="2128888654">
          <w:marLeft w:val="0"/>
          <w:marRight w:val="0"/>
          <w:marTop w:val="0"/>
          <w:marBottom w:val="0"/>
          <w:divBdr>
            <w:top w:val="none" w:sz="0" w:space="0" w:color="auto"/>
            <w:left w:val="none" w:sz="0" w:space="0" w:color="auto"/>
            <w:bottom w:val="none" w:sz="0" w:space="0" w:color="auto"/>
            <w:right w:val="none" w:sz="0" w:space="0" w:color="auto"/>
          </w:divBdr>
          <w:divsChild>
            <w:div w:id="1079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001">
      <w:bodyDiv w:val="1"/>
      <w:marLeft w:val="0"/>
      <w:marRight w:val="0"/>
      <w:marTop w:val="0"/>
      <w:marBottom w:val="0"/>
      <w:divBdr>
        <w:top w:val="none" w:sz="0" w:space="0" w:color="auto"/>
        <w:left w:val="none" w:sz="0" w:space="0" w:color="auto"/>
        <w:bottom w:val="none" w:sz="0" w:space="0" w:color="auto"/>
        <w:right w:val="none" w:sz="0" w:space="0" w:color="auto"/>
      </w:divBdr>
      <w:divsChild>
        <w:div w:id="242840199">
          <w:marLeft w:val="0"/>
          <w:marRight w:val="0"/>
          <w:marTop w:val="0"/>
          <w:marBottom w:val="0"/>
          <w:divBdr>
            <w:top w:val="none" w:sz="0" w:space="0" w:color="auto"/>
            <w:left w:val="none" w:sz="0" w:space="0" w:color="auto"/>
            <w:bottom w:val="none" w:sz="0" w:space="0" w:color="auto"/>
            <w:right w:val="none" w:sz="0" w:space="0" w:color="auto"/>
          </w:divBdr>
        </w:div>
        <w:div w:id="373585030">
          <w:marLeft w:val="0"/>
          <w:marRight w:val="0"/>
          <w:marTop w:val="0"/>
          <w:marBottom w:val="0"/>
          <w:divBdr>
            <w:top w:val="none" w:sz="0" w:space="0" w:color="auto"/>
            <w:left w:val="none" w:sz="0" w:space="0" w:color="auto"/>
            <w:bottom w:val="none" w:sz="0" w:space="0" w:color="auto"/>
            <w:right w:val="none" w:sz="0" w:space="0" w:color="auto"/>
          </w:divBdr>
        </w:div>
        <w:div w:id="1264076158">
          <w:marLeft w:val="0"/>
          <w:marRight w:val="0"/>
          <w:marTop w:val="0"/>
          <w:marBottom w:val="0"/>
          <w:divBdr>
            <w:top w:val="none" w:sz="0" w:space="0" w:color="auto"/>
            <w:left w:val="none" w:sz="0" w:space="0" w:color="auto"/>
            <w:bottom w:val="none" w:sz="0" w:space="0" w:color="auto"/>
            <w:right w:val="none" w:sz="0" w:space="0" w:color="auto"/>
          </w:divBdr>
        </w:div>
        <w:div w:id="1292134138">
          <w:marLeft w:val="0"/>
          <w:marRight w:val="0"/>
          <w:marTop w:val="0"/>
          <w:marBottom w:val="0"/>
          <w:divBdr>
            <w:top w:val="none" w:sz="0" w:space="0" w:color="auto"/>
            <w:left w:val="none" w:sz="0" w:space="0" w:color="auto"/>
            <w:bottom w:val="none" w:sz="0" w:space="0" w:color="auto"/>
            <w:right w:val="none" w:sz="0" w:space="0" w:color="auto"/>
          </w:divBdr>
        </w:div>
        <w:div w:id="1427269727">
          <w:marLeft w:val="0"/>
          <w:marRight w:val="0"/>
          <w:marTop w:val="0"/>
          <w:marBottom w:val="0"/>
          <w:divBdr>
            <w:top w:val="none" w:sz="0" w:space="0" w:color="auto"/>
            <w:left w:val="none" w:sz="0" w:space="0" w:color="auto"/>
            <w:bottom w:val="none" w:sz="0" w:space="0" w:color="auto"/>
            <w:right w:val="none" w:sz="0" w:space="0" w:color="auto"/>
          </w:divBdr>
        </w:div>
        <w:div w:id="1453356047">
          <w:marLeft w:val="0"/>
          <w:marRight w:val="0"/>
          <w:marTop w:val="0"/>
          <w:marBottom w:val="0"/>
          <w:divBdr>
            <w:top w:val="none" w:sz="0" w:space="0" w:color="auto"/>
            <w:left w:val="none" w:sz="0" w:space="0" w:color="auto"/>
            <w:bottom w:val="none" w:sz="0" w:space="0" w:color="auto"/>
            <w:right w:val="none" w:sz="0" w:space="0" w:color="auto"/>
          </w:divBdr>
        </w:div>
        <w:div w:id="2017031831">
          <w:marLeft w:val="0"/>
          <w:marRight w:val="0"/>
          <w:marTop w:val="0"/>
          <w:marBottom w:val="0"/>
          <w:divBdr>
            <w:top w:val="none" w:sz="0" w:space="0" w:color="auto"/>
            <w:left w:val="none" w:sz="0" w:space="0" w:color="auto"/>
            <w:bottom w:val="none" w:sz="0" w:space="0" w:color="auto"/>
            <w:right w:val="none" w:sz="0" w:space="0" w:color="auto"/>
          </w:divBdr>
        </w:div>
      </w:divsChild>
    </w:div>
    <w:div w:id="681318927">
      <w:bodyDiv w:val="1"/>
      <w:marLeft w:val="0"/>
      <w:marRight w:val="0"/>
      <w:marTop w:val="0"/>
      <w:marBottom w:val="0"/>
      <w:divBdr>
        <w:top w:val="none" w:sz="0" w:space="0" w:color="auto"/>
        <w:left w:val="none" w:sz="0" w:space="0" w:color="auto"/>
        <w:bottom w:val="none" w:sz="0" w:space="0" w:color="auto"/>
        <w:right w:val="none" w:sz="0" w:space="0" w:color="auto"/>
      </w:divBdr>
    </w:div>
    <w:div w:id="1113477144">
      <w:bodyDiv w:val="1"/>
      <w:marLeft w:val="0"/>
      <w:marRight w:val="0"/>
      <w:marTop w:val="0"/>
      <w:marBottom w:val="0"/>
      <w:divBdr>
        <w:top w:val="none" w:sz="0" w:space="0" w:color="auto"/>
        <w:left w:val="none" w:sz="0" w:space="0" w:color="auto"/>
        <w:bottom w:val="none" w:sz="0" w:space="0" w:color="auto"/>
        <w:right w:val="none" w:sz="0" w:space="0" w:color="auto"/>
      </w:divBdr>
    </w:div>
    <w:div w:id="1703701467">
      <w:bodyDiv w:val="1"/>
      <w:marLeft w:val="0"/>
      <w:marRight w:val="0"/>
      <w:marTop w:val="0"/>
      <w:marBottom w:val="0"/>
      <w:divBdr>
        <w:top w:val="none" w:sz="0" w:space="0" w:color="auto"/>
        <w:left w:val="none" w:sz="0" w:space="0" w:color="auto"/>
        <w:bottom w:val="none" w:sz="0" w:space="0" w:color="auto"/>
        <w:right w:val="none" w:sz="0" w:space="0" w:color="auto"/>
      </w:divBdr>
    </w:div>
    <w:div w:id="1834300130">
      <w:bodyDiv w:val="1"/>
      <w:marLeft w:val="0"/>
      <w:marRight w:val="0"/>
      <w:marTop w:val="0"/>
      <w:marBottom w:val="0"/>
      <w:divBdr>
        <w:top w:val="none" w:sz="0" w:space="0" w:color="auto"/>
        <w:left w:val="none" w:sz="0" w:space="0" w:color="auto"/>
        <w:bottom w:val="none" w:sz="0" w:space="0" w:color="auto"/>
        <w:right w:val="none" w:sz="0" w:space="0" w:color="auto"/>
      </w:divBdr>
    </w:div>
    <w:div w:id="20597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ten.publicprocurement.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ot.publicprocurement.be" TargetMode="External"/><Relationship Id="rId33" Type="http://schemas.openxmlformats.org/officeDocument/2006/relationships/hyperlink" Target="https://dume.publicprocurement.b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ivo.hooghe@diplobel.fe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vo.hooghe@diplobel.fed.be" TargetMode="External"/><Relationship Id="rId32" Type="http://schemas.openxmlformats.org/officeDocument/2006/relationships/hyperlink" Target="http://www.efacture.belgium.be/nl/index/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mailto:corinne.machet@diplobel.fed.b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bosa.belgium.be/nl/themas/overheids-opdrachten/een-offerte-indienen-als-bedrijf/een-offerte-indienen-als-bedrijf" TargetMode="External"/><Relationship Id="rId30" Type="http://schemas.openxmlformats.org/officeDocument/2006/relationships/hyperlink" Target="http://peppol.eu/" TargetMode="External"/><Relationship Id="rId35" Type="http://schemas.openxmlformats.org/officeDocument/2006/relationships/hyperlink" Target="mailto:ivo.hooghe@diplobel.fed.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c/oecd-development-co-operation-peer-reviews-belgium-2020-026f1aad-en.htm" TargetMode="External"/><Relationship Id="rId1" Type="http://schemas.openxmlformats.org/officeDocument/2006/relationships/hyperlink" Target="https://www.oecd.org/dac/states-of-fragility-fa5a6770-en.htm?utm_source=Adestra&amp;utm_medium=email&amp;utm_content=Read%20More&amp;utm_campaign=development-news-15-sept-2022&amp;utm_term=de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oBeArchived xmlns="2f14d517-06d3-497e-831c-86d8e4bf32d0">false</ToBeArchived>
    <p5e7a70900b24fdf9bcfb9b5fc846c60 xmlns="2f14d517-06d3-497e-831c-86d8e4bf32d0">
      <Terms xmlns="http://schemas.microsoft.com/office/infopath/2007/PartnerControls"/>
    </p5e7a70900b24fdf9bcfb9b5fc846c60>
    <lcf76f155ced4ddcb4097134ff3c332f xmlns="9854dd92-711c-4fea-9985-262832abd51e">
      <Terms xmlns="http://schemas.microsoft.com/office/infopath/2007/PartnerControls"/>
    </lcf76f155ced4ddcb4097134ff3c332f>
    <TaxCatchAll xmlns="2f14d517-06d3-497e-831c-86d8e4bf32d0" xsi:nil="true"/>
    <SharedWithUsers xmlns="2f14d517-06d3-497e-831c-86d8e4bf32d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98D2455C5E944A9A3B8A563CC4953" ma:contentTypeVersion="19" ma:contentTypeDescription="Create a new document." ma:contentTypeScope="" ma:versionID="6dd1c7c63fdf2fe04fc98a4d31eab1d5">
  <xsd:schema xmlns:xsd="http://www.w3.org/2001/XMLSchema" xmlns:xs="http://www.w3.org/2001/XMLSchema" xmlns:p="http://schemas.microsoft.com/office/2006/metadata/properties" xmlns:ns2="2f14d517-06d3-497e-831c-86d8e4bf32d0" xmlns:ns3="9854dd92-711c-4fea-9985-262832abd51e" targetNamespace="http://schemas.microsoft.com/office/2006/metadata/properties" ma:root="true" ma:fieldsID="809c435a42adca93300c90d63222f2a3" ns2:_="" ns3:_="">
    <xsd:import namespace="2f14d517-06d3-497e-831c-86d8e4bf32d0"/>
    <xsd:import namespace="9854dd92-711c-4fea-9985-262832abd51e"/>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4d517-06d3-497e-831c-86d8e4bf32d0" elementFormDefault="qualified">
    <xsd:import namespace="http://schemas.microsoft.com/office/2006/documentManagement/types"/>
    <xsd:import namespace="http://schemas.microsoft.com/office/infopath/2007/PartnerControls"/>
    <xsd:element name="p5e7a70900b24fdf9bcfb9b5fc846c60" ma:index="4"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5" nillable="true" ma:displayName="Taxonomy Catch All Column" ma:hidden="true" ma:list="{aa3717f1-660c-4c57-bb59-fdcb15d844d3}" ma:internalName="TaxCatchAll" ma:showField="CatchAllData" ma:web="2f14d517-06d3-497e-831c-86d8e4bf32d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aa3717f1-660c-4c57-bb59-fdcb15d844d3}" ma:internalName="TaxCatchAllLabel" ma:readOnly="true" ma:showField="CatchAllDataLabel" ma:web="2f14d517-06d3-497e-831c-86d8e4bf32d0">
      <xsd:complexType>
        <xsd:complexContent>
          <xsd:extension base="dms:MultiChoiceLookup">
            <xsd:sequence>
              <xsd:element name="Value" type="dms:Lookup" maxOccurs="unbounded" minOccurs="0" nillable="true"/>
            </xsd:sequence>
          </xsd:extension>
        </xsd:complexContent>
      </xsd:complexType>
    </xsd:element>
    <xsd:element name="ToBeArchived" ma:index="8" nillable="true" ma:displayName="To be archived" ma:internalName="ToBeArchived">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4dd92-711c-4fea-9985-262832abd51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13D1-2929-494F-8250-742B962163E3}">
  <ds:schemaRefs>
    <ds:schemaRef ds:uri="http://schemas.microsoft.com/sharepoint/v3/contenttype/forms"/>
  </ds:schemaRefs>
</ds:datastoreItem>
</file>

<file path=customXml/itemProps2.xml><?xml version="1.0" encoding="utf-8"?>
<ds:datastoreItem xmlns:ds="http://schemas.openxmlformats.org/officeDocument/2006/customXml" ds:itemID="{B14E4679-FDD9-40A6-8FDE-683CAEC80785}">
  <ds:schemaRefs>
    <ds:schemaRef ds:uri="http://schemas.microsoft.com/office/2006/metadata/properties"/>
    <ds:schemaRef ds:uri="http://schemas.microsoft.com/office/infopath/2007/PartnerControls"/>
    <ds:schemaRef ds:uri="2f14d517-06d3-497e-831c-86d8e4bf32d0"/>
    <ds:schemaRef ds:uri="9854dd92-711c-4fea-9985-262832abd51e"/>
  </ds:schemaRefs>
</ds:datastoreItem>
</file>

<file path=customXml/itemProps3.xml><?xml version="1.0" encoding="utf-8"?>
<ds:datastoreItem xmlns:ds="http://schemas.openxmlformats.org/officeDocument/2006/customXml" ds:itemID="{91772807-AEFE-4BBD-A575-998E3A51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4d517-06d3-497e-831c-86d8e4bf32d0"/>
    <ds:schemaRef ds:uri="9854dd92-711c-4fea-9985-262832abd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EAA52-D7B0-4BC9-BD4B-11B1969E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16075</Words>
  <Characters>91629</Characters>
  <Application>Microsoft Office Word</Application>
  <DocSecurity>0</DocSecurity>
  <Lines>763</Lines>
  <Paragraphs>214</Paragraphs>
  <ScaleCrop>false</ScaleCrop>
  <Company>FOD Buitenlandse Zaken / SPF Affaires Etrangeres</Company>
  <LinksUpToDate>false</LinksUpToDate>
  <CharactersWithSpaces>107490</CharactersWithSpaces>
  <SharedDoc>false</SharedDoc>
  <HLinks>
    <vt:vector size="288" baseType="variant">
      <vt:variant>
        <vt:i4>2097156</vt:i4>
      </vt:variant>
      <vt:variant>
        <vt:i4>255</vt:i4>
      </vt:variant>
      <vt:variant>
        <vt:i4>0</vt:i4>
      </vt:variant>
      <vt:variant>
        <vt:i4>5</vt:i4>
      </vt:variant>
      <vt:variant>
        <vt:lpwstr>mailto:ivo.hooghe@diplobel.fed.be</vt:lpwstr>
      </vt:variant>
      <vt:variant>
        <vt:lpwstr/>
      </vt:variant>
      <vt:variant>
        <vt:i4>2687030</vt:i4>
      </vt:variant>
      <vt:variant>
        <vt:i4>252</vt:i4>
      </vt:variant>
      <vt:variant>
        <vt:i4>0</vt:i4>
      </vt:variant>
      <vt:variant>
        <vt:i4>5</vt:i4>
      </vt:variant>
      <vt:variant>
        <vt:lpwstr>https://dume.publicprocurement.be/</vt:lpwstr>
      </vt:variant>
      <vt:variant>
        <vt:lpwstr/>
      </vt:variant>
      <vt:variant>
        <vt:i4>6488171</vt:i4>
      </vt:variant>
      <vt:variant>
        <vt:i4>249</vt:i4>
      </vt:variant>
      <vt:variant>
        <vt:i4>0</vt:i4>
      </vt:variant>
      <vt:variant>
        <vt:i4>5</vt:i4>
      </vt:variant>
      <vt:variant>
        <vt:lpwstr>http://www.efacture.belgium.be/nl/index/index.html</vt:lpwstr>
      </vt:variant>
      <vt:variant>
        <vt:lpwstr/>
      </vt:variant>
      <vt:variant>
        <vt:i4>8323133</vt:i4>
      </vt:variant>
      <vt:variant>
        <vt:i4>246</vt:i4>
      </vt:variant>
      <vt:variant>
        <vt:i4>0</vt:i4>
      </vt:variant>
      <vt:variant>
        <vt:i4>5</vt:i4>
      </vt:variant>
      <vt:variant>
        <vt:lpwstr>https://digital.belgium.be/e-invoicing/</vt:lpwstr>
      </vt:variant>
      <vt:variant>
        <vt:lpwstr/>
      </vt:variant>
      <vt:variant>
        <vt:i4>2031637</vt:i4>
      </vt:variant>
      <vt:variant>
        <vt:i4>243</vt:i4>
      </vt:variant>
      <vt:variant>
        <vt:i4>0</vt:i4>
      </vt:variant>
      <vt:variant>
        <vt:i4>5</vt:i4>
      </vt:variant>
      <vt:variant>
        <vt:lpwstr>http://peppol.eu/</vt:lpwstr>
      </vt:variant>
      <vt:variant>
        <vt:lpwstr/>
      </vt:variant>
      <vt:variant>
        <vt:i4>2097156</vt:i4>
      </vt:variant>
      <vt:variant>
        <vt:i4>240</vt:i4>
      </vt:variant>
      <vt:variant>
        <vt:i4>0</vt:i4>
      </vt:variant>
      <vt:variant>
        <vt:i4>5</vt:i4>
      </vt:variant>
      <vt:variant>
        <vt:lpwstr>mailto:ivo.hooghe@diplobel.fed.be</vt:lpwstr>
      </vt:variant>
      <vt:variant>
        <vt:lpwstr/>
      </vt:variant>
      <vt:variant>
        <vt:i4>3670026</vt:i4>
      </vt:variant>
      <vt:variant>
        <vt:i4>237</vt:i4>
      </vt:variant>
      <vt:variant>
        <vt:i4>0</vt:i4>
      </vt:variant>
      <vt:variant>
        <vt:i4>5</vt:i4>
      </vt:variant>
      <vt:variant>
        <vt:lpwstr>mailto:corinne.machet@diplobel.fed.be</vt:lpwstr>
      </vt:variant>
      <vt:variant>
        <vt:lpwstr/>
      </vt:variant>
      <vt:variant>
        <vt:i4>1048643</vt:i4>
      </vt:variant>
      <vt:variant>
        <vt:i4>234</vt:i4>
      </vt:variant>
      <vt:variant>
        <vt:i4>0</vt:i4>
      </vt:variant>
      <vt:variant>
        <vt:i4>5</vt:i4>
      </vt:variant>
      <vt:variant>
        <vt:lpwstr>https://bosa.belgium.be/nl/themas/overheids-opdrachten/een-offerte-indienen-als-bedrijf/een-offerte-indienen-als-bedrijf</vt:lpwstr>
      </vt:variant>
      <vt:variant>
        <vt:lpwstr/>
      </vt:variant>
      <vt:variant>
        <vt:i4>2293823</vt:i4>
      </vt:variant>
      <vt:variant>
        <vt:i4>231</vt:i4>
      </vt:variant>
      <vt:variant>
        <vt:i4>0</vt:i4>
      </vt:variant>
      <vt:variant>
        <vt:i4>5</vt:i4>
      </vt:variant>
      <vt:variant>
        <vt:lpwstr>https://eten.publicprocurement.be/</vt:lpwstr>
      </vt:variant>
      <vt:variant>
        <vt:lpwstr/>
      </vt:variant>
      <vt:variant>
        <vt:i4>2293813</vt:i4>
      </vt:variant>
      <vt:variant>
        <vt:i4>228</vt:i4>
      </vt:variant>
      <vt:variant>
        <vt:i4>0</vt:i4>
      </vt:variant>
      <vt:variant>
        <vt:i4>5</vt:i4>
      </vt:variant>
      <vt:variant>
        <vt:lpwstr>https://enot.publicprocurement.be/</vt:lpwstr>
      </vt:variant>
      <vt:variant>
        <vt:lpwstr/>
      </vt:variant>
      <vt:variant>
        <vt:i4>2097156</vt:i4>
      </vt:variant>
      <vt:variant>
        <vt:i4>225</vt:i4>
      </vt:variant>
      <vt:variant>
        <vt:i4>0</vt:i4>
      </vt:variant>
      <vt:variant>
        <vt:i4>5</vt:i4>
      </vt:variant>
      <vt:variant>
        <vt:lpwstr>mailto:Ivo.hooghe@diplobel.fed.be</vt:lpwstr>
      </vt:variant>
      <vt:variant>
        <vt:lpwstr/>
      </vt:variant>
      <vt:variant>
        <vt:i4>1638455</vt:i4>
      </vt:variant>
      <vt:variant>
        <vt:i4>206</vt:i4>
      </vt:variant>
      <vt:variant>
        <vt:i4>0</vt:i4>
      </vt:variant>
      <vt:variant>
        <vt:i4>5</vt:i4>
      </vt:variant>
      <vt:variant>
        <vt:lpwstr/>
      </vt:variant>
      <vt:variant>
        <vt:lpwstr>_Toc117601186</vt:lpwstr>
      </vt:variant>
      <vt:variant>
        <vt:i4>1638455</vt:i4>
      </vt:variant>
      <vt:variant>
        <vt:i4>200</vt:i4>
      </vt:variant>
      <vt:variant>
        <vt:i4>0</vt:i4>
      </vt:variant>
      <vt:variant>
        <vt:i4>5</vt:i4>
      </vt:variant>
      <vt:variant>
        <vt:lpwstr/>
      </vt:variant>
      <vt:variant>
        <vt:lpwstr>_Toc117601183</vt:lpwstr>
      </vt:variant>
      <vt:variant>
        <vt:i4>1638455</vt:i4>
      </vt:variant>
      <vt:variant>
        <vt:i4>194</vt:i4>
      </vt:variant>
      <vt:variant>
        <vt:i4>0</vt:i4>
      </vt:variant>
      <vt:variant>
        <vt:i4>5</vt:i4>
      </vt:variant>
      <vt:variant>
        <vt:lpwstr/>
      </vt:variant>
      <vt:variant>
        <vt:lpwstr>_Toc117601182</vt:lpwstr>
      </vt:variant>
      <vt:variant>
        <vt:i4>1441847</vt:i4>
      </vt:variant>
      <vt:variant>
        <vt:i4>188</vt:i4>
      </vt:variant>
      <vt:variant>
        <vt:i4>0</vt:i4>
      </vt:variant>
      <vt:variant>
        <vt:i4>5</vt:i4>
      </vt:variant>
      <vt:variant>
        <vt:lpwstr/>
      </vt:variant>
      <vt:variant>
        <vt:lpwstr>_Toc117601178</vt:lpwstr>
      </vt:variant>
      <vt:variant>
        <vt:i4>1441847</vt:i4>
      </vt:variant>
      <vt:variant>
        <vt:i4>182</vt:i4>
      </vt:variant>
      <vt:variant>
        <vt:i4>0</vt:i4>
      </vt:variant>
      <vt:variant>
        <vt:i4>5</vt:i4>
      </vt:variant>
      <vt:variant>
        <vt:lpwstr/>
      </vt:variant>
      <vt:variant>
        <vt:lpwstr>_Toc117601175</vt:lpwstr>
      </vt:variant>
      <vt:variant>
        <vt:i4>1441847</vt:i4>
      </vt:variant>
      <vt:variant>
        <vt:i4>176</vt:i4>
      </vt:variant>
      <vt:variant>
        <vt:i4>0</vt:i4>
      </vt:variant>
      <vt:variant>
        <vt:i4>5</vt:i4>
      </vt:variant>
      <vt:variant>
        <vt:lpwstr/>
      </vt:variant>
      <vt:variant>
        <vt:lpwstr>_Toc117601171</vt:lpwstr>
      </vt:variant>
      <vt:variant>
        <vt:i4>1507383</vt:i4>
      </vt:variant>
      <vt:variant>
        <vt:i4>170</vt:i4>
      </vt:variant>
      <vt:variant>
        <vt:i4>0</vt:i4>
      </vt:variant>
      <vt:variant>
        <vt:i4>5</vt:i4>
      </vt:variant>
      <vt:variant>
        <vt:lpwstr/>
      </vt:variant>
      <vt:variant>
        <vt:lpwstr>_Toc117601166</vt:lpwstr>
      </vt:variant>
      <vt:variant>
        <vt:i4>1507383</vt:i4>
      </vt:variant>
      <vt:variant>
        <vt:i4>164</vt:i4>
      </vt:variant>
      <vt:variant>
        <vt:i4>0</vt:i4>
      </vt:variant>
      <vt:variant>
        <vt:i4>5</vt:i4>
      </vt:variant>
      <vt:variant>
        <vt:lpwstr/>
      </vt:variant>
      <vt:variant>
        <vt:lpwstr>_Toc117601165</vt:lpwstr>
      </vt:variant>
      <vt:variant>
        <vt:i4>1310775</vt:i4>
      </vt:variant>
      <vt:variant>
        <vt:i4>158</vt:i4>
      </vt:variant>
      <vt:variant>
        <vt:i4>0</vt:i4>
      </vt:variant>
      <vt:variant>
        <vt:i4>5</vt:i4>
      </vt:variant>
      <vt:variant>
        <vt:lpwstr/>
      </vt:variant>
      <vt:variant>
        <vt:lpwstr>_Toc117601159</vt:lpwstr>
      </vt:variant>
      <vt:variant>
        <vt:i4>1310775</vt:i4>
      </vt:variant>
      <vt:variant>
        <vt:i4>152</vt:i4>
      </vt:variant>
      <vt:variant>
        <vt:i4>0</vt:i4>
      </vt:variant>
      <vt:variant>
        <vt:i4>5</vt:i4>
      </vt:variant>
      <vt:variant>
        <vt:lpwstr/>
      </vt:variant>
      <vt:variant>
        <vt:lpwstr>_Toc117601156</vt:lpwstr>
      </vt:variant>
      <vt:variant>
        <vt:i4>1310775</vt:i4>
      </vt:variant>
      <vt:variant>
        <vt:i4>146</vt:i4>
      </vt:variant>
      <vt:variant>
        <vt:i4>0</vt:i4>
      </vt:variant>
      <vt:variant>
        <vt:i4>5</vt:i4>
      </vt:variant>
      <vt:variant>
        <vt:lpwstr/>
      </vt:variant>
      <vt:variant>
        <vt:lpwstr>_Toc117601153</vt:lpwstr>
      </vt:variant>
      <vt:variant>
        <vt:i4>1310775</vt:i4>
      </vt:variant>
      <vt:variant>
        <vt:i4>140</vt:i4>
      </vt:variant>
      <vt:variant>
        <vt:i4>0</vt:i4>
      </vt:variant>
      <vt:variant>
        <vt:i4>5</vt:i4>
      </vt:variant>
      <vt:variant>
        <vt:lpwstr/>
      </vt:variant>
      <vt:variant>
        <vt:lpwstr>_Toc117601150</vt:lpwstr>
      </vt:variant>
      <vt:variant>
        <vt:i4>1376311</vt:i4>
      </vt:variant>
      <vt:variant>
        <vt:i4>134</vt:i4>
      </vt:variant>
      <vt:variant>
        <vt:i4>0</vt:i4>
      </vt:variant>
      <vt:variant>
        <vt:i4>5</vt:i4>
      </vt:variant>
      <vt:variant>
        <vt:lpwstr/>
      </vt:variant>
      <vt:variant>
        <vt:lpwstr>_Toc117601149</vt:lpwstr>
      </vt:variant>
      <vt:variant>
        <vt:i4>1376311</vt:i4>
      </vt:variant>
      <vt:variant>
        <vt:i4>128</vt:i4>
      </vt:variant>
      <vt:variant>
        <vt:i4>0</vt:i4>
      </vt:variant>
      <vt:variant>
        <vt:i4>5</vt:i4>
      </vt:variant>
      <vt:variant>
        <vt:lpwstr/>
      </vt:variant>
      <vt:variant>
        <vt:lpwstr>_Toc117601145</vt:lpwstr>
      </vt:variant>
      <vt:variant>
        <vt:i4>1376311</vt:i4>
      </vt:variant>
      <vt:variant>
        <vt:i4>122</vt:i4>
      </vt:variant>
      <vt:variant>
        <vt:i4>0</vt:i4>
      </vt:variant>
      <vt:variant>
        <vt:i4>5</vt:i4>
      </vt:variant>
      <vt:variant>
        <vt:lpwstr/>
      </vt:variant>
      <vt:variant>
        <vt:lpwstr>_Toc117601144</vt:lpwstr>
      </vt:variant>
      <vt:variant>
        <vt:i4>1376311</vt:i4>
      </vt:variant>
      <vt:variant>
        <vt:i4>116</vt:i4>
      </vt:variant>
      <vt:variant>
        <vt:i4>0</vt:i4>
      </vt:variant>
      <vt:variant>
        <vt:i4>5</vt:i4>
      </vt:variant>
      <vt:variant>
        <vt:lpwstr/>
      </vt:variant>
      <vt:variant>
        <vt:lpwstr>_Toc117601143</vt:lpwstr>
      </vt:variant>
      <vt:variant>
        <vt:i4>1376311</vt:i4>
      </vt:variant>
      <vt:variant>
        <vt:i4>110</vt:i4>
      </vt:variant>
      <vt:variant>
        <vt:i4>0</vt:i4>
      </vt:variant>
      <vt:variant>
        <vt:i4>5</vt:i4>
      </vt:variant>
      <vt:variant>
        <vt:lpwstr/>
      </vt:variant>
      <vt:variant>
        <vt:lpwstr>_Toc117601142</vt:lpwstr>
      </vt:variant>
      <vt:variant>
        <vt:i4>1376311</vt:i4>
      </vt:variant>
      <vt:variant>
        <vt:i4>104</vt:i4>
      </vt:variant>
      <vt:variant>
        <vt:i4>0</vt:i4>
      </vt:variant>
      <vt:variant>
        <vt:i4>5</vt:i4>
      </vt:variant>
      <vt:variant>
        <vt:lpwstr/>
      </vt:variant>
      <vt:variant>
        <vt:lpwstr>_Toc117601141</vt:lpwstr>
      </vt:variant>
      <vt:variant>
        <vt:i4>1179703</vt:i4>
      </vt:variant>
      <vt:variant>
        <vt:i4>98</vt:i4>
      </vt:variant>
      <vt:variant>
        <vt:i4>0</vt:i4>
      </vt:variant>
      <vt:variant>
        <vt:i4>5</vt:i4>
      </vt:variant>
      <vt:variant>
        <vt:lpwstr/>
      </vt:variant>
      <vt:variant>
        <vt:lpwstr>_Toc117601138</vt:lpwstr>
      </vt:variant>
      <vt:variant>
        <vt:i4>1179703</vt:i4>
      </vt:variant>
      <vt:variant>
        <vt:i4>92</vt:i4>
      </vt:variant>
      <vt:variant>
        <vt:i4>0</vt:i4>
      </vt:variant>
      <vt:variant>
        <vt:i4>5</vt:i4>
      </vt:variant>
      <vt:variant>
        <vt:lpwstr/>
      </vt:variant>
      <vt:variant>
        <vt:lpwstr>_Toc117601136</vt:lpwstr>
      </vt:variant>
      <vt:variant>
        <vt:i4>1179703</vt:i4>
      </vt:variant>
      <vt:variant>
        <vt:i4>86</vt:i4>
      </vt:variant>
      <vt:variant>
        <vt:i4>0</vt:i4>
      </vt:variant>
      <vt:variant>
        <vt:i4>5</vt:i4>
      </vt:variant>
      <vt:variant>
        <vt:lpwstr/>
      </vt:variant>
      <vt:variant>
        <vt:lpwstr>_Toc117601133</vt:lpwstr>
      </vt:variant>
      <vt:variant>
        <vt:i4>1245239</vt:i4>
      </vt:variant>
      <vt:variant>
        <vt:i4>80</vt:i4>
      </vt:variant>
      <vt:variant>
        <vt:i4>0</vt:i4>
      </vt:variant>
      <vt:variant>
        <vt:i4>5</vt:i4>
      </vt:variant>
      <vt:variant>
        <vt:lpwstr/>
      </vt:variant>
      <vt:variant>
        <vt:lpwstr>_Toc117601128</vt:lpwstr>
      </vt:variant>
      <vt:variant>
        <vt:i4>1245239</vt:i4>
      </vt:variant>
      <vt:variant>
        <vt:i4>74</vt:i4>
      </vt:variant>
      <vt:variant>
        <vt:i4>0</vt:i4>
      </vt:variant>
      <vt:variant>
        <vt:i4>5</vt:i4>
      </vt:variant>
      <vt:variant>
        <vt:lpwstr/>
      </vt:variant>
      <vt:variant>
        <vt:lpwstr>_Toc117601120</vt:lpwstr>
      </vt:variant>
      <vt:variant>
        <vt:i4>1048631</vt:i4>
      </vt:variant>
      <vt:variant>
        <vt:i4>68</vt:i4>
      </vt:variant>
      <vt:variant>
        <vt:i4>0</vt:i4>
      </vt:variant>
      <vt:variant>
        <vt:i4>5</vt:i4>
      </vt:variant>
      <vt:variant>
        <vt:lpwstr/>
      </vt:variant>
      <vt:variant>
        <vt:lpwstr>_Toc117601112</vt:lpwstr>
      </vt:variant>
      <vt:variant>
        <vt:i4>1114167</vt:i4>
      </vt:variant>
      <vt:variant>
        <vt:i4>62</vt:i4>
      </vt:variant>
      <vt:variant>
        <vt:i4>0</vt:i4>
      </vt:variant>
      <vt:variant>
        <vt:i4>5</vt:i4>
      </vt:variant>
      <vt:variant>
        <vt:lpwstr/>
      </vt:variant>
      <vt:variant>
        <vt:lpwstr>_Toc117601109</vt:lpwstr>
      </vt:variant>
      <vt:variant>
        <vt:i4>1114167</vt:i4>
      </vt:variant>
      <vt:variant>
        <vt:i4>56</vt:i4>
      </vt:variant>
      <vt:variant>
        <vt:i4>0</vt:i4>
      </vt:variant>
      <vt:variant>
        <vt:i4>5</vt:i4>
      </vt:variant>
      <vt:variant>
        <vt:lpwstr/>
      </vt:variant>
      <vt:variant>
        <vt:lpwstr>_Toc117601105</vt:lpwstr>
      </vt:variant>
      <vt:variant>
        <vt:i4>1114167</vt:i4>
      </vt:variant>
      <vt:variant>
        <vt:i4>50</vt:i4>
      </vt:variant>
      <vt:variant>
        <vt:i4>0</vt:i4>
      </vt:variant>
      <vt:variant>
        <vt:i4>5</vt:i4>
      </vt:variant>
      <vt:variant>
        <vt:lpwstr/>
      </vt:variant>
      <vt:variant>
        <vt:lpwstr>_Toc117601101</vt:lpwstr>
      </vt:variant>
      <vt:variant>
        <vt:i4>1114167</vt:i4>
      </vt:variant>
      <vt:variant>
        <vt:i4>44</vt:i4>
      </vt:variant>
      <vt:variant>
        <vt:i4>0</vt:i4>
      </vt:variant>
      <vt:variant>
        <vt:i4>5</vt:i4>
      </vt:variant>
      <vt:variant>
        <vt:lpwstr/>
      </vt:variant>
      <vt:variant>
        <vt:lpwstr>_Toc117601100</vt:lpwstr>
      </vt:variant>
      <vt:variant>
        <vt:i4>1572918</vt:i4>
      </vt:variant>
      <vt:variant>
        <vt:i4>38</vt:i4>
      </vt:variant>
      <vt:variant>
        <vt:i4>0</vt:i4>
      </vt:variant>
      <vt:variant>
        <vt:i4>5</vt:i4>
      </vt:variant>
      <vt:variant>
        <vt:lpwstr/>
      </vt:variant>
      <vt:variant>
        <vt:lpwstr>_Toc117601099</vt:lpwstr>
      </vt:variant>
      <vt:variant>
        <vt:i4>1572918</vt:i4>
      </vt:variant>
      <vt:variant>
        <vt:i4>32</vt:i4>
      </vt:variant>
      <vt:variant>
        <vt:i4>0</vt:i4>
      </vt:variant>
      <vt:variant>
        <vt:i4>5</vt:i4>
      </vt:variant>
      <vt:variant>
        <vt:lpwstr/>
      </vt:variant>
      <vt:variant>
        <vt:lpwstr>_Toc117601096</vt:lpwstr>
      </vt:variant>
      <vt:variant>
        <vt:i4>1572918</vt:i4>
      </vt:variant>
      <vt:variant>
        <vt:i4>26</vt:i4>
      </vt:variant>
      <vt:variant>
        <vt:i4>0</vt:i4>
      </vt:variant>
      <vt:variant>
        <vt:i4>5</vt:i4>
      </vt:variant>
      <vt:variant>
        <vt:lpwstr/>
      </vt:variant>
      <vt:variant>
        <vt:lpwstr>_Toc117601094</vt:lpwstr>
      </vt:variant>
      <vt:variant>
        <vt:i4>1572918</vt:i4>
      </vt:variant>
      <vt:variant>
        <vt:i4>20</vt:i4>
      </vt:variant>
      <vt:variant>
        <vt:i4>0</vt:i4>
      </vt:variant>
      <vt:variant>
        <vt:i4>5</vt:i4>
      </vt:variant>
      <vt:variant>
        <vt:lpwstr/>
      </vt:variant>
      <vt:variant>
        <vt:lpwstr>_Toc117601093</vt:lpwstr>
      </vt:variant>
      <vt:variant>
        <vt:i4>1572918</vt:i4>
      </vt:variant>
      <vt:variant>
        <vt:i4>14</vt:i4>
      </vt:variant>
      <vt:variant>
        <vt:i4>0</vt:i4>
      </vt:variant>
      <vt:variant>
        <vt:i4>5</vt:i4>
      </vt:variant>
      <vt:variant>
        <vt:lpwstr/>
      </vt:variant>
      <vt:variant>
        <vt:lpwstr>_Toc117601092</vt:lpwstr>
      </vt:variant>
      <vt:variant>
        <vt:i4>1572918</vt:i4>
      </vt:variant>
      <vt:variant>
        <vt:i4>8</vt:i4>
      </vt:variant>
      <vt:variant>
        <vt:i4>0</vt:i4>
      </vt:variant>
      <vt:variant>
        <vt:i4>5</vt:i4>
      </vt:variant>
      <vt:variant>
        <vt:lpwstr/>
      </vt:variant>
      <vt:variant>
        <vt:lpwstr>_Toc117601091</vt:lpwstr>
      </vt:variant>
      <vt:variant>
        <vt:i4>1572918</vt:i4>
      </vt:variant>
      <vt:variant>
        <vt:i4>2</vt:i4>
      </vt:variant>
      <vt:variant>
        <vt:i4>0</vt:i4>
      </vt:variant>
      <vt:variant>
        <vt:i4>5</vt:i4>
      </vt:variant>
      <vt:variant>
        <vt:lpwstr/>
      </vt:variant>
      <vt:variant>
        <vt:lpwstr>_Toc117601090</vt:lpwstr>
      </vt:variant>
      <vt:variant>
        <vt:i4>65625</vt:i4>
      </vt:variant>
      <vt:variant>
        <vt:i4>3</vt:i4>
      </vt:variant>
      <vt:variant>
        <vt:i4>0</vt:i4>
      </vt:variant>
      <vt:variant>
        <vt:i4>5</vt:i4>
      </vt:variant>
      <vt:variant>
        <vt:lpwstr>https://www.oecd.org/dac/oecd-development-co-operation-peer-reviews-belgium-2020-026f1aad-en.htm</vt:lpwstr>
      </vt:variant>
      <vt:variant>
        <vt:lpwstr/>
      </vt:variant>
      <vt:variant>
        <vt:i4>5832830</vt:i4>
      </vt:variant>
      <vt:variant>
        <vt:i4>0</vt:i4>
      </vt:variant>
      <vt:variant>
        <vt:i4>0</vt:i4>
      </vt:variant>
      <vt:variant>
        <vt:i4>5</vt:i4>
      </vt:variant>
      <vt:variant>
        <vt:lpwstr>https://www.oecd.org/dac/states-of-fragility-fa5a6770-en.htm?utm_source=Adestra&amp;utm_medium=email&amp;utm_content=Read%20More&amp;utm_campaign=development-news-15-sept-2022&amp;utm_term=dev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Françoise - P&amp;C6</dc:creator>
  <cp:keywords/>
  <cp:lastModifiedBy>Hooghe Ivo - S2</cp:lastModifiedBy>
  <cp:revision>2</cp:revision>
  <dcterms:created xsi:type="dcterms:W3CDTF">2023-04-18T09:22:00Z</dcterms:created>
  <dcterms:modified xsi:type="dcterms:W3CDTF">2023-04-18T09:22:00Z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e238c67c-b162-47ae-8497-f207e4b1aacf</vt:lpwstr>
  </property>
  <property fmtid="{D5CDD505-2E9C-101B-9397-08002B2CF9AE}" pid="3" name="ContentTypeId">
    <vt:lpwstr>0x0101006CB98D2455C5E944A9A3B8A563CC4953</vt:lpwstr>
  </property>
  <property fmtid="{D5CDD505-2E9C-101B-9397-08002B2CF9AE}" pid="4" name="BE_ForeignAffairsClassification">
    <vt:lpwstr>Usage interne - N5 - Intern gebruik</vt:lpwstr>
  </property>
  <property fmtid="{D5CDD505-2E9C-101B-9397-08002B2CF9AE}" pid="5" name="BE_ForeignAffairsMarkering">
    <vt:lpwstr>Markering actief - Marquage actif</vt:lpwstr>
  </property>
  <property fmtid="{D5CDD505-2E9C-101B-9397-08002B2CF9AE}" pid="6" name="MediaServiceImageTags">
    <vt:lpwstr/>
  </property>
  <property fmtid="{D5CDD505-2E9C-101B-9397-08002B2CF9AE}" pid="7" name="ArchiveCode">
    <vt:lpwstr/>
  </property>
  <property fmtid="{D5CDD505-2E9C-101B-9397-08002B2CF9AE}" pid="8" name="Order">
    <vt:r8>66500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MSIP_Label_3fcc0919-ace7-4ac5-935e-33d18af53a2b_Enabled">
    <vt:lpwstr>true</vt:lpwstr>
  </property>
  <property fmtid="{D5CDD505-2E9C-101B-9397-08002B2CF9AE}" pid="18" name="MSIP_Label_3fcc0919-ace7-4ac5-935e-33d18af53a2b_SetDate">
    <vt:lpwstr>2023-04-18T09:22:36Z</vt:lpwstr>
  </property>
  <property fmtid="{D5CDD505-2E9C-101B-9397-08002B2CF9AE}" pid="19" name="MSIP_Label_3fcc0919-ace7-4ac5-935e-33d18af53a2b_Method">
    <vt:lpwstr>Privileged</vt:lpwstr>
  </property>
  <property fmtid="{D5CDD505-2E9C-101B-9397-08002B2CF9AE}" pid="20" name="MSIP_Label_3fcc0919-ace7-4ac5-935e-33d18af53a2b_Name">
    <vt:lpwstr>Usage interne - Intern gebruik</vt:lpwstr>
  </property>
  <property fmtid="{D5CDD505-2E9C-101B-9397-08002B2CF9AE}" pid="21" name="MSIP_Label_3fcc0919-ace7-4ac5-935e-33d18af53a2b_SiteId">
    <vt:lpwstr>80153b30-e434-429b-b41c-0d47f9deec42</vt:lpwstr>
  </property>
  <property fmtid="{D5CDD505-2E9C-101B-9397-08002B2CF9AE}" pid="22" name="MSIP_Label_3fcc0919-ace7-4ac5-935e-33d18af53a2b_ActionId">
    <vt:lpwstr>1b5fa7f9-e310-46b2-a5b1-d7679cc9be33</vt:lpwstr>
  </property>
  <property fmtid="{D5CDD505-2E9C-101B-9397-08002B2CF9AE}" pid="23" name="MSIP_Label_3fcc0919-ace7-4ac5-935e-33d18af53a2b_ContentBits">
    <vt:lpwstr>1</vt:lpwstr>
  </property>
</Properties>
</file>